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4ECE" w14:textId="2B5D6F58" w:rsidR="008A16B2" w:rsidRPr="004860D4" w:rsidRDefault="008A16B2" w:rsidP="008A16B2">
      <w:pPr>
        <w:jc w:val="both"/>
        <w:rPr>
          <w:b/>
          <w:caps/>
          <w:u w:val="single"/>
        </w:rPr>
      </w:pPr>
      <w:r w:rsidRPr="004860D4">
        <w:rPr>
          <w:b/>
          <w:caps/>
          <w:u w:val="single"/>
        </w:rPr>
        <w:t>Questionnaire opérationnel de certification</w:t>
      </w:r>
      <w:r w:rsidRPr="004860D4">
        <w:rPr>
          <w:rStyle w:val="Appelnotedebasdep"/>
          <w:b/>
          <w:caps/>
          <w:u w:val="single"/>
        </w:rPr>
        <w:footnoteReference w:id="1"/>
      </w:r>
    </w:p>
    <w:p w14:paraId="3B5C03BC" w14:textId="77777777" w:rsidR="008A16B2" w:rsidRDefault="008A16B2" w:rsidP="008A16B2">
      <w:pPr>
        <w:ind w:left="540" w:hanging="540"/>
        <w:jc w:val="both"/>
      </w:pPr>
    </w:p>
    <w:p w14:paraId="54082766" w14:textId="77777777" w:rsidR="008A16B2" w:rsidRPr="007C154C" w:rsidRDefault="008A16B2" w:rsidP="008A16B2">
      <w:pPr>
        <w:pStyle w:val="Corpsdetexte"/>
        <w:ind w:left="284"/>
        <w:jc w:val="both"/>
        <w:rPr>
          <w:sz w:val="20"/>
          <w:u w:val="none"/>
        </w:rPr>
      </w:pPr>
      <w:r w:rsidRPr="007C154C">
        <w:rPr>
          <w:sz w:val="20"/>
          <w:u w:val="none"/>
        </w:rPr>
        <w:t xml:space="preserve">A travers ce questionnaire, l’auditeur va vérifier que l’opérateur a veillé à mettre en place un système de qualité, que ce système est maîtrisé et documenté. Il apportera les commentaires nécessaires et établira son rapport d’audit. </w:t>
      </w:r>
    </w:p>
    <w:p w14:paraId="57DC67AB" w14:textId="77777777" w:rsidR="008A16B2" w:rsidRDefault="008A16B2" w:rsidP="008A16B2">
      <w:pPr>
        <w:jc w:val="both"/>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708"/>
        <w:gridCol w:w="567"/>
        <w:gridCol w:w="567"/>
        <w:gridCol w:w="217"/>
        <w:gridCol w:w="492"/>
        <w:gridCol w:w="2693"/>
      </w:tblGrid>
      <w:tr w:rsidR="008A16B2" w14:paraId="177BE8BF" w14:textId="77777777" w:rsidTr="008A16B2">
        <w:trPr>
          <w:cantSplit/>
        </w:trPr>
        <w:tc>
          <w:tcPr>
            <w:tcW w:w="4962" w:type="dxa"/>
            <w:vMerge w:val="restart"/>
          </w:tcPr>
          <w:p w14:paraId="3D81EF60" w14:textId="77777777" w:rsidR="008A16B2" w:rsidRDefault="008A16B2" w:rsidP="00FC15F7">
            <w:pPr>
              <w:jc w:val="center"/>
            </w:pPr>
            <w:r>
              <w:br w:type="page"/>
            </w:r>
          </w:p>
          <w:p w14:paraId="3CC91110" w14:textId="77777777" w:rsidR="008A16B2" w:rsidRDefault="008A16B2" w:rsidP="00FC15F7">
            <w:pPr>
              <w:jc w:val="center"/>
              <w:rPr>
                <w:b/>
              </w:rPr>
            </w:pPr>
            <w:r>
              <w:rPr>
                <w:b/>
              </w:rPr>
              <w:t>Question</w:t>
            </w:r>
          </w:p>
        </w:tc>
        <w:tc>
          <w:tcPr>
            <w:tcW w:w="1275" w:type="dxa"/>
            <w:gridSpan w:val="2"/>
          </w:tcPr>
          <w:p w14:paraId="08A06ED4" w14:textId="77777777" w:rsidR="008A16B2" w:rsidRDefault="008A16B2" w:rsidP="00FC15F7">
            <w:pPr>
              <w:pStyle w:val="Titre1"/>
              <w:rPr>
                <w:rFonts w:ascii="Times New Roman" w:hAnsi="Times New Roman"/>
                <w:kern w:val="0"/>
                <w:sz w:val="20"/>
                <w:lang w:val="fr-FR"/>
              </w:rPr>
            </w:pPr>
            <w:r>
              <w:rPr>
                <w:rFonts w:ascii="Times New Roman" w:hAnsi="Times New Roman"/>
                <w:kern w:val="0"/>
                <w:sz w:val="20"/>
                <w:lang w:val="fr-FR"/>
              </w:rPr>
              <w:t>Maîtrisé</w:t>
            </w:r>
          </w:p>
        </w:tc>
        <w:tc>
          <w:tcPr>
            <w:tcW w:w="1276" w:type="dxa"/>
            <w:gridSpan w:val="3"/>
          </w:tcPr>
          <w:p w14:paraId="0DC87098" w14:textId="77777777" w:rsidR="008A16B2" w:rsidRDefault="008A16B2" w:rsidP="00FC15F7">
            <w:pPr>
              <w:rPr>
                <w:b/>
              </w:rPr>
            </w:pPr>
            <w:r>
              <w:rPr>
                <w:b/>
              </w:rPr>
              <w:t>Documenté</w:t>
            </w:r>
          </w:p>
        </w:tc>
        <w:tc>
          <w:tcPr>
            <w:tcW w:w="2693" w:type="dxa"/>
            <w:vMerge w:val="restart"/>
          </w:tcPr>
          <w:p w14:paraId="5D9425D3" w14:textId="77777777" w:rsidR="008A16B2" w:rsidRDefault="008A16B2" w:rsidP="00FC15F7">
            <w:pPr>
              <w:jc w:val="center"/>
              <w:rPr>
                <w:b/>
              </w:rPr>
            </w:pPr>
            <w:r>
              <w:rPr>
                <w:b/>
              </w:rPr>
              <w:t>Commentaires</w:t>
            </w:r>
          </w:p>
        </w:tc>
      </w:tr>
      <w:tr w:rsidR="008A16B2" w14:paraId="028B7597" w14:textId="77777777" w:rsidTr="008A16B2">
        <w:trPr>
          <w:cantSplit/>
          <w:trHeight w:val="399"/>
        </w:trPr>
        <w:tc>
          <w:tcPr>
            <w:tcW w:w="4962" w:type="dxa"/>
            <w:vMerge/>
          </w:tcPr>
          <w:p w14:paraId="079C99BE" w14:textId="77777777" w:rsidR="008A16B2" w:rsidRDefault="008A16B2" w:rsidP="00FC15F7">
            <w:pPr>
              <w:jc w:val="center"/>
              <w:rPr>
                <w:b/>
              </w:rPr>
            </w:pPr>
          </w:p>
        </w:tc>
        <w:tc>
          <w:tcPr>
            <w:tcW w:w="708" w:type="dxa"/>
          </w:tcPr>
          <w:p w14:paraId="1DC2C3E6" w14:textId="77777777" w:rsidR="008A16B2" w:rsidRDefault="008A16B2" w:rsidP="00FC15F7">
            <w:pPr>
              <w:jc w:val="center"/>
              <w:rPr>
                <w:b/>
              </w:rPr>
            </w:pPr>
            <w:r>
              <w:rPr>
                <w:b/>
              </w:rPr>
              <w:t>Oui</w:t>
            </w:r>
          </w:p>
        </w:tc>
        <w:tc>
          <w:tcPr>
            <w:tcW w:w="567" w:type="dxa"/>
          </w:tcPr>
          <w:p w14:paraId="53E21908" w14:textId="77777777" w:rsidR="008A16B2" w:rsidRDefault="008A16B2" w:rsidP="00FC15F7">
            <w:pPr>
              <w:jc w:val="center"/>
              <w:rPr>
                <w:b/>
              </w:rPr>
            </w:pPr>
            <w:r>
              <w:rPr>
                <w:b/>
              </w:rPr>
              <w:t>Non</w:t>
            </w:r>
          </w:p>
        </w:tc>
        <w:tc>
          <w:tcPr>
            <w:tcW w:w="567" w:type="dxa"/>
          </w:tcPr>
          <w:p w14:paraId="23E736E1" w14:textId="77777777" w:rsidR="008A16B2" w:rsidRDefault="008A16B2" w:rsidP="00FC15F7">
            <w:pPr>
              <w:jc w:val="center"/>
              <w:rPr>
                <w:b/>
              </w:rPr>
            </w:pPr>
            <w:r>
              <w:rPr>
                <w:b/>
              </w:rPr>
              <w:t>Oui</w:t>
            </w:r>
          </w:p>
        </w:tc>
        <w:tc>
          <w:tcPr>
            <w:tcW w:w="709" w:type="dxa"/>
            <w:gridSpan w:val="2"/>
          </w:tcPr>
          <w:p w14:paraId="78310996" w14:textId="77777777" w:rsidR="008A16B2" w:rsidRDefault="008A16B2" w:rsidP="00FC15F7">
            <w:pPr>
              <w:jc w:val="center"/>
              <w:rPr>
                <w:b/>
              </w:rPr>
            </w:pPr>
            <w:r>
              <w:rPr>
                <w:b/>
              </w:rPr>
              <w:t>Non</w:t>
            </w:r>
          </w:p>
        </w:tc>
        <w:tc>
          <w:tcPr>
            <w:tcW w:w="2693" w:type="dxa"/>
            <w:vMerge/>
          </w:tcPr>
          <w:p w14:paraId="0C49B402" w14:textId="77777777" w:rsidR="008A16B2" w:rsidRDefault="008A16B2" w:rsidP="00FC15F7">
            <w:pPr>
              <w:jc w:val="center"/>
              <w:rPr>
                <w:b/>
              </w:rPr>
            </w:pPr>
          </w:p>
        </w:tc>
      </w:tr>
      <w:tr w:rsidR="008A16B2" w14:paraId="1A6322C4" w14:textId="77777777" w:rsidTr="008A16B2">
        <w:tc>
          <w:tcPr>
            <w:tcW w:w="4962" w:type="dxa"/>
          </w:tcPr>
          <w:p w14:paraId="3B2AD28F" w14:textId="77777777" w:rsidR="008A16B2" w:rsidRDefault="008A16B2" w:rsidP="00FC15F7"/>
          <w:p w14:paraId="74DC9456" w14:textId="77777777" w:rsidR="008A16B2" w:rsidRPr="008A16B2" w:rsidRDefault="008A16B2" w:rsidP="00FC15F7">
            <w:pPr>
              <w:rPr>
                <w:b/>
                <w:bCs/>
                <w:u w:val="single"/>
              </w:rPr>
            </w:pPr>
            <w:r w:rsidRPr="008A16B2">
              <w:rPr>
                <w:b/>
                <w:bCs/>
              </w:rPr>
              <w:t xml:space="preserve">1. </w:t>
            </w:r>
            <w:r w:rsidRPr="008A16B2">
              <w:rPr>
                <w:b/>
                <w:bCs/>
                <w:u w:val="single"/>
              </w:rPr>
              <w:t>Gestion des Formateurs</w:t>
            </w:r>
          </w:p>
          <w:p w14:paraId="4D3396A9" w14:textId="77777777" w:rsidR="008A16B2" w:rsidRDefault="008A16B2" w:rsidP="00FC15F7"/>
        </w:tc>
        <w:tc>
          <w:tcPr>
            <w:tcW w:w="708" w:type="dxa"/>
          </w:tcPr>
          <w:p w14:paraId="4F27AF21" w14:textId="77777777" w:rsidR="008A16B2" w:rsidRDefault="008A16B2" w:rsidP="00FC15F7"/>
        </w:tc>
        <w:tc>
          <w:tcPr>
            <w:tcW w:w="567" w:type="dxa"/>
          </w:tcPr>
          <w:p w14:paraId="407667BE" w14:textId="77777777" w:rsidR="008A16B2" w:rsidRDefault="008A16B2" w:rsidP="00FC15F7"/>
        </w:tc>
        <w:tc>
          <w:tcPr>
            <w:tcW w:w="567" w:type="dxa"/>
          </w:tcPr>
          <w:p w14:paraId="1976CD4D" w14:textId="77777777" w:rsidR="008A16B2" w:rsidRDefault="008A16B2" w:rsidP="00FC15F7"/>
        </w:tc>
        <w:tc>
          <w:tcPr>
            <w:tcW w:w="709" w:type="dxa"/>
            <w:gridSpan w:val="2"/>
          </w:tcPr>
          <w:p w14:paraId="7DAEBE50" w14:textId="77777777" w:rsidR="008A16B2" w:rsidRDefault="008A16B2" w:rsidP="00FC15F7"/>
        </w:tc>
        <w:tc>
          <w:tcPr>
            <w:tcW w:w="2693" w:type="dxa"/>
          </w:tcPr>
          <w:p w14:paraId="33C7FDDF" w14:textId="77777777" w:rsidR="008A16B2" w:rsidRDefault="008A16B2" w:rsidP="00FC15F7"/>
        </w:tc>
      </w:tr>
      <w:tr w:rsidR="008A16B2" w14:paraId="2531C922" w14:textId="77777777" w:rsidTr="008A16B2">
        <w:tc>
          <w:tcPr>
            <w:tcW w:w="4962" w:type="dxa"/>
          </w:tcPr>
          <w:p w14:paraId="68396901" w14:textId="77777777" w:rsidR="008A16B2" w:rsidRDefault="008A16B2" w:rsidP="00FC15F7">
            <w:pPr>
              <w:jc w:val="both"/>
            </w:pPr>
            <w:r>
              <w:t xml:space="preserve">L’opérateur de formation met en œuvre une méthodologie de sélection de chaque formateur interne et externe.  </w:t>
            </w:r>
          </w:p>
          <w:p w14:paraId="7D7E4737" w14:textId="77777777" w:rsidR="008A16B2" w:rsidRDefault="008A16B2" w:rsidP="00FC15F7">
            <w:pPr>
              <w:jc w:val="both"/>
            </w:pPr>
            <w:r>
              <w:t>Celle-ci est documentée (exemple : curriculum vitae des formateurs avec identification des compétences techniques, capacités pédagogiques, expérience, domaines couverts, entretien individuel, commission de sélection)</w:t>
            </w:r>
          </w:p>
          <w:p w14:paraId="707F12D9" w14:textId="77777777" w:rsidR="008A16B2" w:rsidRDefault="008A16B2" w:rsidP="00FC15F7">
            <w:pPr>
              <w:jc w:val="both"/>
            </w:pPr>
          </w:p>
        </w:tc>
        <w:tc>
          <w:tcPr>
            <w:tcW w:w="708" w:type="dxa"/>
          </w:tcPr>
          <w:p w14:paraId="5602F110" w14:textId="77777777" w:rsidR="008A16B2" w:rsidRDefault="008A16B2" w:rsidP="00FC15F7"/>
        </w:tc>
        <w:tc>
          <w:tcPr>
            <w:tcW w:w="567" w:type="dxa"/>
          </w:tcPr>
          <w:p w14:paraId="49E6D1BF" w14:textId="77777777" w:rsidR="008A16B2" w:rsidRDefault="008A16B2" w:rsidP="00FC15F7"/>
        </w:tc>
        <w:tc>
          <w:tcPr>
            <w:tcW w:w="567" w:type="dxa"/>
          </w:tcPr>
          <w:p w14:paraId="37096B8C" w14:textId="77777777" w:rsidR="008A16B2" w:rsidRDefault="008A16B2" w:rsidP="00FC15F7"/>
        </w:tc>
        <w:tc>
          <w:tcPr>
            <w:tcW w:w="709" w:type="dxa"/>
            <w:gridSpan w:val="2"/>
          </w:tcPr>
          <w:p w14:paraId="7F6FA78E" w14:textId="77777777" w:rsidR="008A16B2" w:rsidRDefault="008A16B2" w:rsidP="00FC15F7"/>
        </w:tc>
        <w:tc>
          <w:tcPr>
            <w:tcW w:w="2693" w:type="dxa"/>
          </w:tcPr>
          <w:p w14:paraId="797C00A6" w14:textId="77777777" w:rsidR="008A16B2" w:rsidRDefault="008A16B2" w:rsidP="00FC15F7"/>
        </w:tc>
      </w:tr>
      <w:tr w:rsidR="008A16B2" w14:paraId="6356F767" w14:textId="77777777" w:rsidTr="008A16B2">
        <w:tc>
          <w:tcPr>
            <w:tcW w:w="4962" w:type="dxa"/>
          </w:tcPr>
          <w:p w14:paraId="01FDD554" w14:textId="77777777" w:rsidR="008A16B2" w:rsidRDefault="008A16B2" w:rsidP="00FC15F7">
            <w:pPr>
              <w:jc w:val="both"/>
            </w:pPr>
            <w:r>
              <w:t xml:space="preserve">L’opérateur de formation met en œuvre une méthodologie d’évaluation de chaque formateur interne et externe.  </w:t>
            </w:r>
          </w:p>
          <w:p w14:paraId="01ED9EEF" w14:textId="77777777" w:rsidR="008A16B2" w:rsidRDefault="008A16B2" w:rsidP="00FC15F7">
            <w:pPr>
              <w:jc w:val="both"/>
            </w:pPr>
            <w:r>
              <w:t>Celle-ci est documentée (exemple : rapport d’évaluation des formateurs en référence avec les évaluations faites par les personnes ayant suivi les formations)</w:t>
            </w:r>
          </w:p>
          <w:p w14:paraId="13F6D8C6" w14:textId="77777777" w:rsidR="008A16B2" w:rsidRDefault="008A16B2" w:rsidP="00FC15F7"/>
        </w:tc>
        <w:tc>
          <w:tcPr>
            <w:tcW w:w="708" w:type="dxa"/>
          </w:tcPr>
          <w:p w14:paraId="7FE6D2E7" w14:textId="77777777" w:rsidR="008A16B2" w:rsidRDefault="008A16B2" w:rsidP="00FC15F7"/>
        </w:tc>
        <w:tc>
          <w:tcPr>
            <w:tcW w:w="567" w:type="dxa"/>
          </w:tcPr>
          <w:p w14:paraId="5535DC39" w14:textId="77777777" w:rsidR="008A16B2" w:rsidRDefault="008A16B2" w:rsidP="00FC15F7"/>
        </w:tc>
        <w:tc>
          <w:tcPr>
            <w:tcW w:w="567" w:type="dxa"/>
          </w:tcPr>
          <w:p w14:paraId="0E4E6B86" w14:textId="77777777" w:rsidR="008A16B2" w:rsidRDefault="008A16B2" w:rsidP="00FC15F7"/>
        </w:tc>
        <w:tc>
          <w:tcPr>
            <w:tcW w:w="709" w:type="dxa"/>
            <w:gridSpan w:val="2"/>
          </w:tcPr>
          <w:p w14:paraId="717FADF9" w14:textId="77777777" w:rsidR="008A16B2" w:rsidRDefault="008A16B2" w:rsidP="00FC15F7"/>
        </w:tc>
        <w:tc>
          <w:tcPr>
            <w:tcW w:w="2693" w:type="dxa"/>
          </w:tcPr>
          <w:p w14:paraId="4A420F6F" w14:textId="77777777" w:rsidR="008A16B2" w:rsidRDefault="008A16B2" w:rsidP="00FC15F7"/>
        </w:tc>
      </w:tr>
      <w:tr w:rsidR="008A16B2" w14:paraId="75076719" w14:textId="77777777" w:rsidTr="008A16B2">
        <w:tc>
          <w:tcPr>
            <w:tcW w:w="4962" w:type="dxa"/>
          </w:tcPr>
          <w:p w14:paraId="1A5E21B5" w14:textId="77777777" w:rsidR="008A16B2" w:rsidRDefault="008A16B2" w:rsidP="00FC15F7">
            <w:pPr>
              <w:jc w:val="both"/>
            </w:pPr>
            <w:r>
              <w:t>Des actions de traitement des problèmes détectés par la procédure d’évaluation mentionnée ci-dessus sont mises en place et sont documentées.</w:t>
            </w:r>
          </w:p>
          <w:p w14:paraId="283FD6D3" w14:textId="77777777" w:rsidR="008A16B2" w:rsidRDefault="008A16B2" w:rsidP="00FC15F7"/>
        </w:tc>
        <w:tc>
          <w:tcPr>
            <w:tcW w:w="708" w:type="dxa"/>
          </w:tcPr>
          <w:p w14:paraId="34212DBA" w14:textId="77777777" w:rsidR="008A16B2" w:rsidRDefault="008A16B2" w:rsidP="00FC15F7"/>
        </w:tc>
        <w:tc>
          <w:tcPr>
            <w:tcW w:w="567" w:type="dxa"/>
          </w:tcPr>
          <w:p w14:paraId="77E40093" w14:textId="77777777" w:rsidR="008A16B2" w:rsidRDefault="008A16B2" w:rsidP="00FC15F7"/>
        </w:tc>
        <w:tc>
          <w:tcPr>
            <w:tcW w:w="567" w:type="dxa"/>
          </w:tcPr>
          <w:p w14:paraId="00F6F69A" w14:textId="77777777" w:rsidR="008A16B2" w:rsidRDefault="008A16B2" w:rsidP="00FC15F7"/>
        </w:tc>
        <w:tc>
          <w:tcPr>
            <w:tcW w:w="709" w:type="dxa"/>
            <w:gridSpan w:val="2"/>
          </w:tcPr>
          <w:p w14:paraId="1D5F1457" w14:textId="77777777" w:rsidR="008A16B2" w:rsidRDefault="008A16B2" w:rsidP="00FC15F7"/>
        </w:tc>
        <w:tc>
          <w:tcPr>
            <w:tcW w:w="2693" w:type="dxa"/>
          </w:tcPr>
          <w:p w14:paraId="639C0F64" w14:textId="77777777" w:rsidR="008A16B2" w:rsidRDefault="008A16B2" w:rsidP="00FC15F7"/>
        </w:tc>
      </w:tr>
      <w:tr w:rsidR="008A16B2" w14:paraId="7FE7A17E" w14:textId="77777777" w:rsidTr="008A16B2">
        <w:tc>
          <w:tcPr>
            <w:tcW w:w="4962" w:type="dxa"/>
          </w:tcPr>
          <w:p w14:paraId="380B24AA" w14:textId="77777777" w:rsidR="008A16B2" w:rsidRDefault="008A16B2" w:rsidP="00FC15F7">
            <w:pPr>
              <w:jc w:val="both"/>
            </w:pPr>
            <w:r>
              <w:t>L’opérateur vérifie que ses formateurs internes et externes suivent une actualisation et un développement continus, tant dans leur domaine de compétence technique qu’au plan pédagogique.</w:t>
            </w:r>
          </w:p>
          <w:p w14:paraId="1E8A6DE5" w14:textId="77777777" w:rsidR="008A16B2" w:rsidRDefault="008A16B2" w:rsidP="00FC15F7">
            <w:pPr>
              <w:jc w:val="both"/>
            </w:pPr>
            <w:r>
              <w:t>Celle-ci est documentée (exemple : attestations de suivi de formation de « recyclage », participations avec colloques)</w:t>
            </w:r>
          </w:p>
          <w:p w14:paraId="3FA69F64" w14:textId="77777777" w:rsidR="008A16B2" w:rsidRDefault="008A16B2" w:rsidP="00FC15F7"/>
        </w:tc>
        <w:tc>
          <w:tcPr>
            <w:tcW w:w="708" w:type="dxa"/>
          </w:tcPr>
          <w:p w14:paraId="763D97D1" w14:textId="77777777" w:rsidR="008A16B2" w:rsidRDefault="008A16B2" w:rsidP="00FC15F7"/>
        </w:tc>
        <w:tc>
          <w:tcPr>
            <w:tcW w:w="567" w:type="dxa"/>
          </w:tcPr>
          <w:p w14:paraId="33F61A9F" w14:textId="77777777" w:rsidR="008A16B2" w:rsidRDefault="008A16B2" w:rsidP="00FC15F7"/>
        </w:tc>
        <w:tc>
          <w:tcPr>
            <w:tcW w:w="567" w:type="dxa"/>
          </w:tcPr>
          <w:p w14:paraId="03681C9C" w14:textId="77777777" w:rsidR="008A16B2" w:rsidRDefault="008A16B2" w:rsidP="00FC15F7"/>
        </w:tc>
        <w:tc>
          <w:tcPr>
            <w:tcW w:w="709" w:type="dxa"/>
            <w:gridSpan w:val="2"/>
          </w:tcPr>
          <w:p w14:paraId="4C1E2DCA" w14:textId="77777777" w:rsidR="008A16B2" w:rsidRDefault="008A16B2" w:rsidP="00FC15F7"/>
        </w:tc>
        <w:tc>
          <w:tcPr>
            <w:tcW w:w="2693" w:type="dxa"/>
          </w:tcPr>
          <w:p w14:paraId="3CCF8329" w14:textId="77777777" w:rsidR="008A16B2" w:rsidRDefault="008A16B2" w:rsidP="00FC15F7"/>
        </w:tc>
      </w:tr>
      <w:tr w:rsidR="008A16B2" w14:paraId="2EBA6BB2" w14:textId="77777777" w:rsidTr="008A16B2">
        <w:tc>
          <w:tcPr>
            <w:tcW w:w="4962" w:type="dxa"/>
          </w:tcPr>
          <w:p w14:paraId="742B6AA9" w14:textId="77777777" w:rsidR="008A16B2" w:rsidRDefault="008A16B2" w:rsidP="00FC15F7"/>
          <w:p w14:paraId="40A7DA64" w14:textId="77777777" w:rsidR="008A16B2" w:rsidRPr="008A16B2" w:rsidRDefault="008A16B2" w:rsidP="00FC15F7">
            <w:pPr>
              <w:rPr>
                <w:b/>
                <w:bCs/>
                <w:u w:val="single"/>
              </w:rPr>
            </w:pPr>
            <w:r w:rsidRPr="008A16B2">
              <w:rPr>
                <w:b/>
                <w:bCs/>
              </w:rPr>
              <w:t>2</w:t>
            </w:r>
            <w:r w:rsidRPr="008A16B2">
              <w:rPr>
                <w:b/>
                <w:bCs/>
                <w:u w:val="single"/>
              </w:rPr>
              <w:t>. Gestion des Formations</w:t>
            </w:r>
          </w:p>
          <w:p w14:paraId="0272180E" w14:textId="77777777" w:rsidR="008A16B2" w:rsidRPr="008A16B2" w:rsidRDefault="008A16B2" w:rsidP="00FC15F7">
            <w:pPr>
              <w:rPr>
                <w:b/>
                <w:bCs/>
              </w:rPr>
            </w:pPr>
            <w:r w:rsidRPr="008A16B2">
              <w:rPr>
                <w:b/>
                <w:bCs/>
              </w:rPr>
              <w:t>Réf Décret : Art.4bis – Art.12 1° - Art 12 2°</w:t>
            </w:r>
          </w:p>
          <w:p w14:paraId="6E118FE0" w14:textId="77777777" w:rsidR="008A16B2" w:rsidRDefault="008A16B2" w:rsidP="00FC15F7"/>
        </w:tc>
        <w:tc>
          <w:tcPr>
            <w:tcW w:w="708" w:type="dxa"/>
          </w:tcPr>
          <w:p w14:paraId="32C96676" w14:textId="77777777" w:rsidR="008A16B2" w:rsidRDefault="008A16B2" w:rsidP="00FC15F7"/>
        </w:tc>
        <w:tc>
          <w:tcPr>
            <w:tcW w:w="567" w:type="dxa"/>
          </w:tcPr>
          <w:p w14:paraId="736C7E6D" w14:textId="77777777" w:rsidR="008A16B2" w:rsidRDefault="008A16B2" w:rsidP="00FC15F7"/>
        </w:tc>
        <w:tc>
          <w:tcPr>
            <w:tcW w:w="567" w:type="dxa"/>
          </w:tcPr>
          <w:p w14:paraId="243B1954" w14:textId="77777777" w:rsidR="008A16B2" w:rsidRDefault="008A16B2" w:rsidP="00FC15F7"/>
        </w:tc>
        <w:tc>
          <w:tcPr>
            <w:tcW w:w="709" w:type="dxa"/>
            <w:gridSpan w:val="2"/>
          </w:tcPr>
          <w:p w14:paraId="0A477D91" w14:textId="77777777" w:rsidR="008A16B2" w:rsidRDefault="008A16B2" w:rsidP="00FC15F7"/>
        </w:tc>
        <w:tc>
          <w:tcPr>
            <w:tcW w:w="2693" w:type="dxa"/>
          </w:tcPr>
          <w:p w14:paraId="73A8D32D" w14:textId="77777777" w:rsidR="008A16B2" w:rsidRDefault="008A16B2" w:rsidP="00FC15F7"/>
        </w:tc>
      </w:tr>
      <w:tr w:rsidR="008A16B2" w14:paraId="78681FE5" w14:textId="77777777" w:rsidTr="008A16B2">
        <w:tc>
          <w:tcPr>
            <w:tcW w:w="4962" w:type="dxa"/>
          </w:tcPr>
          <w:p w14:paraId="40C2595D" w14:textId="299F5EDD" w:rsidR="008A16B2" w:rsidRDefault="008A16B2" w:rsidP="00FC15F7">
            <w:pPr>
              <w:jc w:val="both"/>
            </w:pPr>
            <w:r>
              <w:t>L’opérateur dispose de documents régulièrement mis à jour et présentant précisément :</w:t>
            </w:r>
          </w:p>
          <w:p w14:paraId="7AEB2C7C" w14:textId="0A6F9E58" w:rsidR="008A16B2" w:rsidRDefault="008A16B2" w:rsidP="008A16B2">
            <w:pPr>
              <w:numPr>
                <w:ilvl w:val="0"/>
                <w:numId w:val="2"/>
              </w:numPr>
              <w:tabs>
                <w:tab w:val="left" w:pos="284"/>
              </w:tabs>
              <w:ind w:left="284" w:hanging="284"/>
              <w:jc w:val="both"/>
            </w:pPr>
            <w:r>
              <w:t>Les objectifs de la formation en termes d’acquis d’apprentissage (compétences) ;</w:t>
            </w:r>
          </w:p>
          <w:p w14:paraId="47206734" w14:textId="77777777" w:rsidR="008A16B2" w:rsidRDefault="008A16B2" w:rsidP="008A16B2">
            <w:pPr>
              <w:numPr>
                <w:ilvl w:val="0"/>
                <w:numId w:val="2"/>
              </w:numPr>
              <w:tabs>
                <w:tab w:val="left" w:pos="284"/>
              </w:tabs>
              <w:ind w:left="284" w:hanging="284"/>
              <w:jc w:val="both"/>
            </w:pPr>
            <w:r>
              <w:t>Le contenu de la formation et son déroulement ;</w:t>
            </w:r>
          </w:p>
          <w:p w14:paraId="659E3A48" w14:textId="77777777" w:rsidR="008A16B2" w:rsidRDefault="008A16B2" w:rsidP="008A16B2">
            <w:pPr>
              <w:numPr>
                <w:ilvl w:val="0"/>
                <w:numId w:val="2"/>
              </w:numPr>
              <w:tabs>
                <w:tab w:val="left" w:pos="284"/>
              </w:tabs>
              <w:ind w:left="284" w:hanging="284"/>
              <w:jc w:val="both"/>
            </w:pPr>
            <w:r>
              <w:t>Le public cible autorisé en fonction de l’agrément ;</w:t>
            </w:r>
          </w:p>
          <w:p w14:paraId="1B5A359F" w14:textId="0478B9E2" w:rsidR="008A16B2" w:rsidRDefault="008A16B2" w:rsidP="008A16B2">
            <w:pPr>
              <w:numPr>
                <w:ilvl w:val="0"/>
                <w:numId w:val="2"/>
              </w:numPr>
              <w:tabs>
                <w:tab w:val="left" w:pos="284"/>
              </w:tabs>
              <w:ind w:left="284" w:hanging="284"/>
              <w:jc w:val="both"/>
            </w:pPr>
            <w:r>
              <w:t>Le prix des formations ;</w:t>
            </w:r>
          </w:p>
          <w:p w14:paraId="19777907" w14:textId="6EC7DD11" w:rsidR="008A16B2" w:rsidRDefault="008A16B2" w:rsidP="008A16B2">
            <w:pPr>
              <w:numPr>
                <w:ilvl w:val="0"/>
                <w:numId w:val="2"/>
              </w:numPr>
              <w:tabs>
                <w:tab w:val="left" w:pos="284"/>
              </w:tabs>
              <w:ind w:left="284" w:hanging="284"/>
              <w:jc w:val="both"/>
            </w:pPr>
            <w:r>
              <w:t>La durée de celles-ci.</w:t>
            </w:r>
          </w:p>
          <w:p w14:paraId="176AB9D1" w14:textId="77777777" w:rsidR="008A16B2" w:rsidRDefault="008A16B2" w:rsidP="00FC15F7"/>
        </w:tc>
        <w:tc>
          <w:tcPr>
            <w:tcW w:w="708" w:type="dxa"/>
          </w:tcPr>
          <w:p w14:paraId="74674A35" w14:textId="77777777" w:rsidR="008A16B2" w:rsidRDefault="008A16B2" w:rsidP="00FC15F7"/>
        </w:tc>
        <w:tc>
          <w:tcPr>
            <w:tcW w:w="567" w:type="dxa"/>
          </w:tcPr>
          <w:p w14:paraId="3996D7CE" w14:textId="77777777" w:rsidR="008A16B2" w:rsidRDefault="008A16B2" w:rsidP="00FC15F7"/>
        </w:tc>
        <w:tc>
          <w:tcPr>
            <w:tcW w:w="567" w:type="dxa"/>
          </w:tcPr>
          <w:p w14:paraId="6AE1B9BF" w14:textId="77777777" w:rsidR="008A16B2" w:rsidRDefault="008A16B2" w:rsidP="00FC15F7"/>
        </w:tc>
        <w:tc>
          <w:tcPr>
            <w:tcW w:w="709" w:type="dxa"/>
            <w:gridSpan w:val="2"/>
          </w:tcPr>
          <w:p w14:paraId="709FD243" w14:textId="77777777" w:rsidR="008A16B2" w:rsidRDefault="008A16B2" w:rsidP="00FC15F7"/>
        </w:tc>
        <w:tc>
          <w:tcPr>
            <w:tcW w:w="2693" w:type="dxa"/>
          </w:tcPr>
          <w:p w14:paraId="3E525A89" w14:textId="77777777" w:rsidR="008A16B2" w:rsidRDefault="008A16B2" w:rsidP="00FC15F7"/>
        </w:tc>
      </w:tr>
      <w:tr w:rsidR="008A16B2" w14:paraId="1C36DFAA" w14:textId="77777777" w:rsidTr="008A16B2">
        <w:tc>
          <w:tcPr>
            <w:tcW w:w="4962" w:type="dxa"/>
          </w:tcPr>
          <w:p w14:paraId="4D9C8422" w14:textId="77777777" w:rsidR="008A16B2" w:rsidRDefault="008A16B2" w:rsidP="00FC15F7">
            <w:pPr>
              <w:jc w:val="both"/>
            </w:pPr>
            <w:r>
              <w:t>L’opérateur peut adapter, le contenu, les objectifs, la méthodologie, le délai à des desiderata de formation particuliers.</w:t>
            </w:r>
          </w:p>
          <w:p w14:paraId="0885F495" w14:textId="77777777" w:rsidR="008A16B2" w:rsidRDefault="008A16B2" w:rsidP="00FC15F7">
            <w:pPr>
              <w:jc w:val="both"/>
            </w:pPr>
            <w:r>
              <w:lastRenderedPageBreak/>
              <w:t>Les modifications par rapport aux demandes des clients sont documentées (exemple : flexibilité en termes d’horaire, taille des groupes, etc.)</w:t>
            </w:r>
          </w:p>
          <w:p w14:paraId="16049EA5" w14:textId="77777777" w:rsidR="008A16B2" w:rsidRDefault="008A16B2" w:rsidP="00FC15F7"/>
        </w:tc>
        <w:tc>
          <w:tcPr>
            <w:tcW w:w="708" w:type="dxa"/>
          </w:tcPr>
          <w:p w14:paraId="4A46E15A" w14:textId="77777777" w:rsidR="008A16B2" w:rsidRDefault="008A16B2" w:rsidP="00FC15F7"/>
        </w:tc>
        <w:tc>
          <w:tcPr>
            <w:tcW w:w="567" w:type="dxa"/>
          </w:tcPr>
          <w:p w14:paraId="1C40297E" w14:textId="77777777" w:rsidR="008A16B2" w:rsidRDefault="008A16B2" w:rsidP="00FC15F7"/>
        </w:tc>
        <w:tc>
          <w:tcPr>
            <w:tcW w:w="567" w:type="dxa"/>
          </w:tcPr>
          <w:p w14:paraId="64847A8C" w14:textId="77777777" w:rsidR="008A16B2" w:rsidRDefault="008A16B2" w:rsidP="00FC15F7"/>
        </w:tc>
        <w:tc>
          <w:tcPr>
            <w:tcW w:w="709" w:type="dxa"/>
            <w:gridSpan w:val="2"/>
          </w:tcPr>
          <w:p w14:paraId="495E3A67" w14:textId="77777777" w:rsidR="008A16B2" w:rsidRDefault="008A16B2" w:rsidP="00FC15F7"/>
        </w:tc>
        <w:tc>
          <w:tcPr>
            <w:tcW w:w="2693" w:type="dxa"/>
          </w:tcPr>
          <w:p w14:paraId="3EF370B0" w14:textId="77777777" w:rsidR="008A16B2" w:rsidRDefault="008A16B2" w:rsidP="00FC15F7"/>
        </w:tc>
      </w:tr>
      <w:tr w:rsidR="008A16B2" w14:paraId="2352FCB4" w14:textId="77777777" w:rsidTr="008A16B2">
        <w:trPr>
          <w:cantSplit/>
        </w:trPr>
        <w:tc>
          <w:tcPr>
            <w:tcW w:w="4962" w:type="dxa"/>
          </w:tcPr>
          <w:p w14:paraId="2EE12DE2" w14:textId="77777777" w:rsidR="008A16B2" w:rsidRDefault="008A16B2" w:rsidP="00FC15F7">
            <w:pPr>
              <w:jc w:val="both"/>
            </w:pPr>
            <w:r>
              <w:t>L’opérateur démontre le caractère qualifiant de la formation en ce sens qu’elle procure un ensemble de savoirs, d’aptitude et de savoir-être qui génèrent des compétences nécessaires à l’exercice de la fonction d’indépendant ou du travailleur au sein de l’entreprise ou d’une entreprise exerçant une activité similaire aux fins d’accroître ses compétences</w:t>
            </w:r>
            <w:r>
              <w:rPr>
                <w:rStyle w:val="Appelnotedebasdep"/>
              </w:rPr>
              <w:footnoteReference w:id="2"/>
            </w:r>
            <w:r>
              <w:t xml:space="preserve">. </w:t>
            </w:r>
          </w:p>
          <w:p w14:paraId="0FA9F91E" w14:textId="77777777" w:rsidR="008A16B2" w:rsidRDefault="008A16B2" w:rsidP="00FC15F7">
            <w:pPr>
              <w:jc w:val="both"/>
            </w:pPr>
            <w:r>
              <w:t xml:space="preserve"> </w:t>
            </w:r>
          </w:p>
        </w:tc>
        <w:tc>
          <w:tcPr>
            <w:tcW w:w="708" w:type="dxa"/>
          </w:tcPr>
          <w:p w14:paraId="06C6B6BD" w14:textId="77777777" w:rsidR="008A16B2" w:rsidRDefault="008A16B2" w:rsidP="00FC15F7"/>
        </w:tc>
        <w:tc>
          <w:tcPr>
            <w:tcW w:w="567" w:type="dxa"/>
          </w:tcPr>
          <w:p w14:paraId="105D250A" w14:textId="77777777" w:rsidR="008A16B2" w:rsidRDefault="008A16B2" w:rsidP="00FC15F7"/>
        </w:tc>
        <w:tc>
          <w:tcPr>
            <w:tcW w:w="784" w:type="dxa"/>
            <w:gridSpan w:val="2"/>
          </w:tcPr>
          <w:p w14:paraId="6062A2D5" w14:textId="77777777" w:rsidR="008A16B2" w:rsidRDefault="008A16B2" w:rsidP="00FC15F7"/>
        </w:tc>
        <w:tc>
          <w:tcPr>
            <w:tcW w:w="492" w:type="dxa"/>
          </w:tcPr>
          <w:p w14:paraId="430DBA0B" w14:textId="77777777" w:rsidR="008A16B2" w:rsidRDefault="008A16B2" w:rsidP="00FC15F7"/>
        </w:tc>
        <w:tc>
          <w:tcPr>
            <w:tcW w:w="2693" w:type="dxa"/>
          </w:tcPr>
          <w:p w14:paraId="00A70AB9" w14:textId="77777777" w:rsidR="008A16B2" w:rsidRDefault="008A16B2" w:rsidP="00FC15F7"/>
        </w:tc>
      </w:tr>
      <w:tr w:rsidR="008A16B2" w14:paraId="42A49C91" w14:textId="77777777" w:rsidTr="008A16B2">
        <w:trPr>
          <w:cantSplit/>
        </w:trPr>
        <w:tc>
          <w:tcPr>
            <w:tcW w:w="4962" w:type="dxa"/>
          </w:tcPr>
          <w:p w14:paraId="41B54049" w14:textId="77777777" w:rsidR="008A16B2" w:rsidRPr="00AC7D80" w:rsidRDefault="008A16B2" w:rsidP="00FC15F7">
            <w:pPr>
              <w:pStyle w:val="Corpsdetexte"/>
              <w:jc w:val="left"/>
              <w:rPr>
                <w:sz w:val="20"/>
              </w:rPr>
            </w:pPr>
          </w:p>
          <w:p w14:paraId="61700D04" w14:textId="77777777" w:rsidR="008A16B2" w:rsidRPr="007F40AE" w:rsidRDefault="008A16B2" w:rsidP="00FC15F7">
            <w:pPr>
              <w:pStyle w:val="Corpsdetexte"/>
              <w:jc w:val="both"/>
              <w:rPr>
                <w:sz w:val="20"/>
                <w:u w:val="none"/>
              </w:rPr>
            </w:pPr>
            <w:r w:rsidRPr="007F40AE">
              <w:rPr>
                <w:sz w:val="20"/>
                <w:u w:val="none"/>
              </w:rPr>
              <w:t xml:space="preserve">L’opérateur démontre le caractère transférable de la formation qui doit permettre l’acquisition de compétences qualifiantes transférables à d’autres entreprises d’un même secteur d’activité ou d’un secteur d’activité qui nécessite des compétences similaires </w:t>
            </w:r>
          </w:p>
          <w:p w14:paraId="22B0488B" w14:textId="77777777" w:rsidR="008A16B2" w:rsidRPr="00AC7B59" w:rsidRDefault="008A16B2" w:rsidP="00FC15F7">
            <w:pPr>
              <w:rPr>
                <w:lang w:val="fr-BE"/>
              </w:rPr>
            </w:pPr>
          </w:p>
        </w:tc>
        <w:tc>
          <w:tcPr>
            <w:tcW w:w="708" w:type="dxa"/>
          </w:tcPr>
          <w:p w14:paraId="5FDBBA29" w14:textId="77777777" w:rsidR="008A16B2" w:rsidRDefault="008A16B2" w:rsidP="00FC15F7"/>
        </w:tc>
        <w:tc>
          <w:tcPr>
            <w:tcW w:w="567" w:type="dxa"/>
          </w:tcPr>
          <w:p w14:paraId="0B81A38B" w14:textId="77777777" w:rsidR="008A16B2" w:rsidRDefault="008A16B2" w:rsidP="00FC15F7"/>
          <w:p w14:paraId="076BCD83" w14:textId="77777777" w:rsidR="008A16B2" w:rsidRDefault="008A16B2" w:rsidP="00FC15F7"/>
        </w:tc>
        <w:tc>
          <w:tcPr>
            <w:tcW w:w="784" w:type="dxa"/>
            <w:gridSpan w:val="2"/>
          </w:tcPr>
          <w:p w14:paraId="4DB7CF0A" w14:textId="77777777" w:rsidR="008A16B2" w:rsidRDefault="008A16B2" w:rsidP="00FC15F7"/>
        </w:tc>
        <w:tc>
          <w:tcPr>
            <w:tcW w:w="492" w:type="dxa"/>
          </w:tcPr>
          <w:p w14:paraId="1F8E922B" w14:textId="77777777" w:rsidR="008A16B2" w:rsidRDefault="008A16B2" w:rsidP="00FC15F7"/>
        </w:tc>
        <w:tc>
          <w:tcPr>
            <w:tcW w:w="2693" w:type="dxa"/>
          </w:tcPr>
          <w:p w14:paraId="3B8A45CD" w14:textId="77777777" w:rsidR="008A16B2" w:rsidRDefault="008A16B2" w:rsidP="00FC15F7"/>
        </w:tc>
      </w:tr>
      <w:tr w:rsidR="008A16B2" w14:paraId="2AD48023" w14:textId="77777777" w:rsidTr="008A16B2">
        <w:tc>
          <w:tcPr>
            <w:tcW w:w="4962" w:type="dxa"/>
          </w:tcPr>
          <w:p w14:paraId="40175160" w14:textId="77777777" w:rsidR="008A16B2" w:rsidRDefault="008A16B2" w:rsidP="00FC15F7">
            <w:pPr>
              <w:jc w:val="both"/>
            </w:pPr>
            <w:r>
              <w:t>L’opérateur peut prouver que la formation proposée est applicable en inter-entreprise. Cette preuve est documentée (brochures de programmes, offres faites à diverses entreprises, …)</w:t>
            </w:r>
          </w:p>
          <w:p w14:paraId="59999C87" w14:textId="77777777" w:rsidR="008A16B2" w:rsidRDefault="008A16B2" w:rsidP="00FC15F7">
            <w:pPr>
              <w:jc w:val="both"/>
            </w:pPr>
          </w:p>
        </w:tc>
        <w:tc>
          <w:tcPr>
            <w:tcW w:w="708" w:type="dxa"/>
          </w:tcPr>
          <w:p w14:paraId="7516B9E9" w14:textId="77777777" w:rsidR="008A16B2" w:rsidRDefault="008A16B2" w:rsidP="00FC15F7"/>
        </w:tc>
        <w:tc>
          <w:tcPr>
            <w:tcW w:w="567" w:type="dxa"/>
          </w:tcPr>
          <w:p w14:paraId="03E71BCE" w14:textId="77777777" w:rsidR="008A16B2" w:rsidRDefault="008A16B2" w:rsidP="00FC15F7"/>
        </w:tc>
        <w:tc>
          <w:tcPr>
            <w:tcW w:w="784" w:type="dxa"/>
            <w:gridSpan w:val="2"/>
          </w:tcPr>
          <w:p w14:paraId="54226090" w14:textId="77777777" w:rsidR="008A16B2" w:rsidRDefault="008A16B2" w:rsidP="00FC15F7"/>
        </w:tc>
        <w:tc>
          <w:tcPr>
            <w:tcW w:w="492" w:type="dxa"/>
          </w:tcPr>
          <w:p w14:paraId="45DF4D07" w14:textId="77777777" w:rsidR="008A16B2" w:rsidRDefault="008A16B2" w:rsidP="00FC15F7"/>
        </w:tc>
        <w:tc>
          <w:tcPr>
            <w:tcW w:w="2693" w:type="dxa"/>
          </w:tcPr>
          <w:p w14:paraId="229AE1C8" w14:textId="77777777" w:rsidR="008A16B2" w:rsidRDefault="008A16B2" w:rsidP="00FC15F7"/>
        </w:tc>
      </w:tr>
      <w:tr w:rsidR="008A16B2" w14:paraId="26CE1061" w14:textId="77777777" w:rsidTr="008A16B2">
        <w:tc>
          <w:tcPr>
            <w:tcW w:w="4962" w:type="dxa"/>
          </w:tcPr>
          <w:p w14:paraId="35448752" w14:textId="77777777" w:rsidR="008A16B2" w:rsidRDefault="008A16B2" w:rsidP="00FC15F7">
            <w:pPr>
              <w:pStyle w:val="Retraitcorpsdetexte3"/>
              <w:ind w:left="0"/>
              <w:jc w:val="both"/>
              <w:rPr>
                <w:rFonts w:ascii="Times New Roman" w:hAnsi="Times New Roman"/>
                <w:i w:val="0"/>
              </w:rPr>
            </w:pPr>
            <w:r>
              <w:rPr>
                <w:rFonts w:ascii="Times New Roman" w:hAnsi="Times New Roman"/>
                <w:i w:val="0"/>
                <w:kern w:val="0"/>
                <w:sz w:val="20"/>
              </w:rPr>
              <w:t>L’opérateur dispose d’une procédure d’évaluation de la satisfaction de ses clients (apprenants et entreprises) pour chaque formation</w:t>
            </w:r>
            <w:r>
              <w:rPr>
                <w:rFonts w:ascii="Times New Roman" w:hAnsi="Times New Roman"/>
                <w:i w:val="0"/>
              </w:rPr>
              <w:t xml:space="preserve">. </w:t>
            </w:r>
            <w:r>
              <w:rPr>
                <w:rFonts w:ascii="Times New Roman" w:hAnsi="Times New Roman"/>
                <w:i w:val="0"/>
                <w:sz w:val="20"/>
              </w:rPr>
              <w:t xml:space="preserve">L’opérateur prévoit, dans cette procédure d’évaluation, une possibilité pour l’entreprise de s’exprimer sur la progression de l’apprenant. </w:t>
            </w:r>
            <w:r w:rsidRPr="007A0037">
              <w:rPr>
                <w:rFonts w:ascii="Times New Roman" w:hAnsi="Times New Roman"/>
                <w:i w:val="0"/>
                <w:sz w:val="20"/>
              </w:rPr>
              <w:t xml:space="preserve">  </w:t>
            </w:r>
          </w:p>
          <w:p w14:paraId="21082F01" w14:textId="77777777" w:rsidR="008A16B2" w:rsidRDefault="008A16B2" w:rsidP="00FC15F7">
            <w:pPr>
              <w:jc w:val="both"/>
            </w:pPr>
            <w:r>
              <w:t>Celle-ci est documentée et des enregistrements existent.</w:t>
            </w:r>
          </w:p>
          <w:p w14:paraId="52000783" w14:textId="77777777" w:rsidR="008A16B2" w:rsidRDefault="008A16B2" w:rsidP="00FC15F7">
            <w:pPr>
              <w:jc w:val="both"/>
            </w:pPr>
          </w:p>
        </w:tc>
        <w:tc>
          <w:tcPr>
            <w:tcW w:w="708" w:type="dxa"/>
          </w:tcPr>
          <w:p w14:paraId="662D17BC" w14:textId="77777777" w:rsidR="008A16B2" w:rsidRDefault="008A16B2" w:rsidP="00FC15F7"/>
        </w:tc>
        <w:tc>
          <w:tcPr>
            <w:tcW w:w="567" w:type="dxa"/>
          </w:tcPr>
          <w:p w14:paraId="6AF47DC2" w14:textId="77777777" w:rsidR="008A16B2" w:rsidRDefault="008A16B2" w:rsidP="00FC15F7"/>
        </w:tc>
        <w:tc>
          <w:tcPr>
            <w:tcW w:w="784" w:type="dxa"/>
            <w:gridSpan w:val="2"/>
          </w:tcPr>
          <w:p w14:paraId="40895BFC" w14:textId="77777777" w:rsidR="008A16B2" w:rsidRDefault="008A16B2" w:rsidP="00FC15F7"/>
        </w:tc>
        <w:tc>
          <w:tcPr>
            <w:tcW w:w="492" w:type="dxa"/>
          </w:tcPr>
          <w:p w14:paraId="709AAA96" w14:textId="77777777" w:rsidR="008A16B2" w:rsidRDefault="008A16B2" w:rsidP="00FC15F7"/>
        </w:tc>
        <w:tc>
          <w:tcPr>
            <w:tcW w:w="2693" w:type="dxa"/>
          </w:tcPr>
          <w:p w14:paraId="788F26BD" w14:textId="77777777" w:rsidR="008A16B2" w:rsidRDefault="008A16B2" w:rsidP="00FC15F7"/>
        </w:tc>
      </w:tr>
      <w:tr w:rsidR="008A16B2" w14:paraId="6C8C99B9" w14:textId="77777777" w:rsidTr="008A16B2">
        <w:tc>
          <w:tcPr>
            <w:tcW w:w="4962" w:type="dxa"/>
          </w:tcPr>
          <w:p w14:paraId="4A572C7C" w14:textId="77777777" w:rsidR="008A16B2" w:rsidRDefault="008A16B2" w:rsidP="00FC15F7">
            <w:pPr>
              <w:jc w:val="both"/>
            </w:pPr>
            <w:r>
              <w:t>L’opérateur dispose d’une procédure de traitement des plaintes clients.</w:t>
            </w:r>
          </w:p>
          <w:p w14:paraId="0D526352" w14:textId="77777777" w:rsidR="008A16B2" w:rsidRDefault="008A16B2" w:rsidP="00FC15F7">
            <w:pPr>
              <w:jc w:val="both"/>
            </w:pPr>
            <w:r>
              <w:t>Celle-ci est documentée et des enregistrements existent.</w:t>
            </w:r>
          </w:p>
          <w:p w14:paraId="2CB90533" w14:textId="77777777" w:rsidR="008A16B2" w:rsidRDefault="008A16B2" w:rsidP="00FC15F7"/>
        </w:tc>
        <w:tc>
          <w:tcPr>
            <w:tcW w:w="708" w:type="dxa"/>
          </w:tcPr>
          <w:p w14:paraId="51094926" w14:textId="77777777" w:rsidR="008A16B2" w:rsidRDefault="008A16B2" w:rsidP="00FC15F7"/>
        </w:tc>
        <w:tc>
          <w:tcPr>
            <w:tcW w:w="567" w:type="dxa"/>
          </w:tcPr>
          <w:p w14:paraId="6C48058D" w14:textId="77777777" w:rsidR="008A16B2" w:rsidRDefault="008A16B2" w:rsidP="00FC15F7"/>
        </w:tc>
        <w:tc>
          <w:tcPr>
            <w:tcW w:w="784" w:type="dxa"/>
            <w:gridSpan w:val="2"/>
          </w:tcPr>
          <w:p w14:paraId="2209EEC1" w14:textId="77777777" w:rsidR="008A16B2" w:rsidRDefault="008A16B2" w:rsidP="00FC15F7"/>
        </w:tc>
        <w:tc>
          <w:tcPr>
            <w:tcW w:w="492" w:type="dxa"/>
          </w:tcPr>
          <w:p w14:paraId="721937C1" w14:textId="77777777" w:rsidR="008A16B2" w:rsidRDefault="008A16B2" w:rsidP="00FC15F7"/>
        </w:tc>
        <w:tc>
          <w:tcPr>
            <w:tcW w:w="2693" w:type="dxa"/>
          </w:tcPr>
          <w:p w14:paraId="4C7CD88E" w14:textId="77777777" w:rsidR="008A16B2" w:rsidRDefault="008A16B2" w:rsidP="00FC15F7"/>
        </w:tc>
      </w:tr>
      <w:tr w:rsidR="008A16B2" w14:paraId="38B9A1AE" w14:textId="77777777" w:rsidTr="008A16B2">
        <w:tc>
          <w:tcPr>
            <w:tcW w:w="4962" w:type="dxa"/>
          </w:tcPr>
          <w:p w14:paraId="68F23BC0" w14:textId="77777777" w:rsidR="008A16B2" w:rsidRDefault="008A16B2" w:rsidP="00FC15F7">
            <w:pPr>
              <w:jc w:val="both"/>
            </w:pPr>
            <w:r>
              <w:t>Des actions de traitement des problèmes détectés par les procédures d’évaluation mentionnées ci-dessus sont mises en place et sont documentées.</w:t>
            </w:r>
          </w:p>
          <w:p w14:paraId="2FEB242B" w14:textId="77777777" w:rsidR="008A16B2" w:rsidRDefault="008A16B2" w:rsidP="00FC15F7">
            <w:pPr>
              <w:jc w:val="both"/>
            </w:pPr>
          </w:p>
        </w:tc>
        <w:tc>
          <w:tcPr>
            <w:tcW w:w="708" w:type="dxa"/>
          </w:tcPr>
          <w:p w14:paraId="6AD76347" w14:textId="77777777" w:rsidR="008A16B2" w:rsidRDefault="008A16B2" w:rsidP="00FC15F7"/>
        </w:tc>
        <w:tc>
          <w:tcPr>
            <w:tcW w:w="567" w:type="dxa"/>
          </w:tcPr>
          <w:p w14:paraId="64089CF1" w14:textId="77777777" w:rsidR="008A16B2" w:rsidRDefault="008A16B2" w:rsidP="00FC15F7"/>
        </w:tc>
        <w:tc>
          <w:tcPr>
            <w:tcW w:w="784" w:type="dxa"/>
            <w:gridSpan w:val="2"/>
          </w:tcPr>
          <w:p w14:paraId="3979B706" w14:textId="77777777" w:rsidR="008A16B2" w:rsidRDefault="008A16B2" w:rsidP="00FC15F7"/>
        </w:tc>
        <w:tc>
          <w:tcPr>
            <w:tcW w:w="492" w:type="dxa"/>
          </w:tcPr>
          <w:p w14:paraId="0D6F231F" w14:textId="77777777" w:rsidR="008A16B2" w:rsidRDefault="008A16B2" w:rsidP="00FC15F7"/>
        </w:tc>
        <w:tc>
          <w:tcPr>
            <w:tcW w:w="2693" w:type="dxa"/>
          </w:tcPr>
          <w:p w14:paraId="7BA309BD" w14:textId="77777777" w:rsidR="008A16B2" w:rsidRDefault="008A16B2" w:rsidP="00FC15F7"/>
        </w:tc>
      </w:tr>
      <w:tr w:rsidR="008A16B2" w14:paraId="7D0222F8" w14:textId="77777777" w:rsidTr="008A16B2">
        <w:tc>
          <w:tcPr>
            <w:tcW w:w="4962" w:type="dxa"/>
          </w:tcPr>
          <w:p w14:paraId="447C5A2A" w14:textId="77777777" w:rsidR="008A16B2" w:rsidRDefault="008A16B2" w:rsidP="00FC15F7">
            <w:pPr>
              <w:jc w:val="both"/>
            </w:pPr>
            <w:r>
              <w:t>Cas particulier de la formation à distance : pour chacune des formations, l’opérateur est capable de démontrer la cohérence de ses actions de formation par rapport à ce qu’il a déclaré dans le document « critères généraux de la formation à distance ».</w:t>
            </w:r>
          </w:p>
        </w:tc>
        <w:tc>
          <w:tcPr>
            <w:tcW w:w="708" w:type="dxa"/>
          </w:tcPr>
          <w:p w14:paraId="719BE1CF" w14:textId="77777777" w:rsidR="008A16B2" w:rsidRDefault="008A16B2" w:rsidP="00FC15F7">
            <w:pPr>
              <w:jc w:val="both"/>
            </w:pPr>
          </w:p>
        </w:tc>
        <w:tc>
          <w:tcPr>
            <w:tcW w:w="567" w:type="dxa"/>
          </w:tcPr>
          <w:p w14:paraId="0432B944" w14:textId="77777777" w:rsidR="008A16B2" w:rsidRDefault="008A16B2" w:rsidP="00FC15F7"/>
        </w:tc>
        <w:tc>
          <w:tcPr>
            <w:tcW w:w="784" w:type="dxa"/>
            <w:gridSpan w:val="2"/>
          </w:tcPr>
          <w:p w14:paraId="28FA0AF2" w14:textId="77777777" w:rsidR="008A16B2" w:rsidRDefault="008A16B2" w:rsidP="00FC15F7"/>
        </w:tc>
        <w:tc>
          <w:tcPr>
            <w:tcW w:w="492" w:type="dxa"/>
          </w:tcPr>
          <w:p w14:paraId="1B82A3F5" w14:textId="77777777" w:rsidR="008A16B2" w:rsidRDefault="008A16B2" w:rsidP="00FC15F7"/>
        </w:tc>
        <w:tc>
          <w:tcPr>
            <w:tcW w:w="2693" w:type="dxa"/>
          </w:tcPr>
          <w:p w14:paraId="7DD8B0C3" w14:textId="77777777" w:rsidR="008A16B2" w:rsidRDefault="008A16B2" w:rsidP="00FC15F7"/>
        </w:tc>
      </w:tr>
      <w:tr w:rsidR="008A16B2" w14:paraId="0CE1FCC1" w14:textId="77777777" w:rsidTr="008A16B2">
        <w:tc>
          <w:tcPr>
            <w:tcW w:w="4962" w:type="dxa"/>
          </w:tcPr>
          <w:p w14:paraId="5604874B" w14:textId="77777777" w:rsidR="008A16B2" w:rsidRDefault="008A16B2" w:rsidP="00FC15F7">
            <w:pPr>
              <w:jc w:val="both"/>
            </w:pPr>
            <w:r>
              <w:t>L’opérateur établit des listes de présence signées par les participants quotidiennement et peut les fournir sur demande.</w:t>
            </w:r>
          </w:p>
        </w:tc>
        <w:tc>
          <w:tcPr>
            <w:tcW w:w="708" w:type="dxa"/>
          </w:tcPr>
          <w:p w14:paraId="06C72430" w14:textId="77777777" w:rsidR="008A16B2" w:rsidRDefault="008A16B2" w:rsidP="00FC15F7"/>
        </w:tc>
        <w:tc>
          <w:tcPr>
            <w:tcW w:w="567" w:type="dxa"/>
          </w:tcPr>
          <w:p w14:paraId="20C3F40C" w14:textId="77777777" w:rsidR="008A16B2" w:rsidRDefault="008A16B2" w:rsidP="00FC15F7"/>
        </w:tc>
        <w:tc>
          <w:tcPr>
            <w:tcW w:w="784" w:type="dxa"/>
            <w:gridSpan w:val="2"/>
          </w:tcPr>
          <w:p w14:paraId="18762317" w14:textId="77777777" w:rsidR="008A16B2" w:rsidRDefault="008A16B2" w:rsidP="00FC15F7"/>
        </w:tc>
        <w:tc>
          <w:tcPr>
            <w:tcW w:w="492" w:type="dxa"/>
          </w:tcPr>
          <w:p w14:paraId="072CDBB6" w14:textId="77777777" w:rsidR="008A16B2" w:rsidRDefault="008A16B2" w:rsidP="00FC15F7"/>
        </w:tc>
        <w:tc>
          <w:tcPr>
            <w:tcW w:w="2693" w:type="dxa"/>
          </w:tcPr>
          <w:p w14:paraId="5EF58AFD" w14:textId="77777777" w:rsidR="008A16B2" w:rsidRDefault="008A16B2" w:rsidP="00FC15F7"/>
        </w:tc>
      </w:tr>
      <w:tr w:rsidR="008A16B2" w14:paraId="08AE9940" w14:textId="77777777" w:rsidTr="008A16B2">
        <w:tc>
          <w:tcPr>
            <w:tcW w:w="4962" w:type="dxa"/>
          </w:tcPr>
          <w:p w14:paraId="54AA40B8" w14:textId="77777777" w:rsidR="008A16B2" w:rsidRDefault="008A16B2" w:rsidP="00FC15F7">
            <w:pPr>
              <w:jc w:val="both"/>
            </w:pPr>
          </w:p>
          <w:p w14:paraId="2281AD0F" w14:textId="1C40D125" w:rsidR="008A16B2" w:rsidRPr="008A16B2" w:rsidRDefault="008A16B2" w:rsidP="00FC15F7">
            <w:pPr>
              <w:jc w:val="both"/>
              <w:rPr>
                <w:b/>
                <w:bCs/>
                <w:u w:val="double"/>
              </w:rPr>
            </w:pPr>
            <w:r w:rsidRPr="008A16B2">
              <w:rPr>
                <w:b/>
                <w:bCs/>
              </w:rPr>
              <w:t>3.</w:t>
            </w:r>
            <w:r w:rsidRPr="008A16B2">
              <w:rPr>
                <w:b/>
                <w:bCs/>
                <w:u w:val="single"/>
              </w:rPr>
              <w:t xml:space="preserve"> Gestion des moyens de formation</w:t>
            </w:r>
          </w:p>
          <w:p w14:paraId="63D8E699" w14:textId="77777777" w:rsidR="008A16B2" w:rsidRDefault="008A16B2" w:rsidP="00FC15F7"/>
        </w:tc>
        <w:tc>
          <w:tcPr>
            <w:tcW w:w="708" w:type="dxa"/>
          </w:tcPr>
          <w:p w14:paraId="131366BC" w14:textId="77777777" w:rsidR="008A16B2" w:rsidRDefault="008A16B2" w:rsidP="00FC15F7"/>
        </w:tc>
        <w:tc>
          <w:tcPr>
            <w:tcW w:w="567" w:type="dxa"/>
          </w:tcPr>
          <w:p w14:paraId="6A58E408" w14:textId="77777777" w:rsidR="008A16B2" w:rsidRDefault="008A16B2" w:rsidP="00FC15F7"/>
        </w:tc>
        <w:tc>
          <w:tcPr>
            <w:tcW w:w="784" w:type="dxa"/>
            <w:gridSpan w:val="2"/>
          </w:tcPr>
          <w:p w14:paraId="6F30E769" w14:textId="77777777" w:rsidR="008A16B2" w:rsidRDefault="008A16B2" w:rsidP="00FC15F7"/>
        </w:tc>
        <w:tc>
          <w:tcPr>
            <w:tcW w:w="492" w:type="dxa"/>
          </w:tcPr>
          <w:p w14:paraId="422AA58C" w14:textId="77777777" w:rsidR="008A16B2" w:rsidRDefault="008A16B2" w:rsidP="00FC15F7"/>
        </w:tc>
        <w:tc>
          <w:tcPr>
            <w:tcW w:w="2693" w:type="dxa"/>
          </w:tcPr>
          <w:p w14:paraId="791DD62E" w14:textId="77777777" w:rsidR="008A16B2" w:rsidRDefault="008A16B2" w:rsidP="00FC15F7"/>
        </w:tc>
      </w:tr>
      <w:tr w:rsidR="008A16B2" w14:paraId="07F0E368" w14:textId="77777777" w:rsidTr="008A16B2">
        <w:tc>
          <w:tcPr>
            <w:tcW w:w="4962" w:type="dxa"/>
          </w:tcPr>
          <w:p w14:paraId="2D39ED84" w14:textId="5014BCD0" w:rsidR="008A16B2" w:rsidRDefault="008A16B2" w:rsidP="00FC15F7">
            <w:pPr>
              <w:jc w:val="both"/>
            </w:pPr>
            <w:r>
              <w:t>L’opérateur s’assure qu’il dispose ou peut disposer de locaux compatibles avec les exigences requises pour le type de formation dispensée (nombre, taille, ergonomie, etc…) </w:t>
            </w:r>
          </w:p>
          <w:p w14:paraId="22599C73" w14:textId="77777777" w:rsidR="008A16B2" w:rsidRDefault="008A16B2" w:rsidP="00FC15F7">
            <w:pPr>
              <w:jc w:val="both"/>
            </w:pPr>
            <w:r>
              <w:lastRenderedPageBreak/>
              <w:t>Ceci est documenté (Ex. : relevé des locaux disponibles).</w:t>
            </w:r>
          </w:p>
          <w:p w14:paraId="62D3A3CB" w14:textId="77777777" w:rsidR="008A16B2" w:rsidRDefault="008A16B2" w:rsidP="00FC15F7">
            <w:pPr>
              <w:jc w:val="both"/>
            </w:pPr>
          </w:p>
        </w:tc>
        <w:tc>
          <w:tcPr>
            <w:tcW w:w="708" w:type="dxa"/>
          </w:tcPr>
          <w:p w14:paraId="6C3F8F8A" w14:textId="77777777" w:rsidR="008A16B2" w:rsidRDefault="008A16B2" w:rsidP="00FC15F7"/>
        </w:tc>
        <w:tc>
          <w:tcPr>
            <w:tcW w:w="567" w:type="dxa"/>
          </w:tcPr>
          <w:p w14:paraId="5D729771" w14:textId="77777777" w:rsidR="008A16B2" w:rsidRDefault="008A16B2" w:rsidP="00FC15F7"/>
        </w:tc>
        <w:tc>
          <w:tcPr>
            <w:tcW w:w="784" w:type="dxa"/>
            <w:gridSpan w:val="2"/>
          </w:tcPr>
          <w:p w14:paraId="1028C310" w14:textId="77777777" w:rsidR="008A16B2" w:rsidRDefault="008A16B2" w:rsidP="00FC15F7"/>
        </w:tc>
        <w:tc>
          <w:tcPr>
            <w:tcW w:w="492" w:type="dxa"/>
          </w:tcPr>
          <w:p w14:paraId="06CFFDB4" w14:textId="77777777" w:rsidR="008A16B2" w:rsidRDefault="008A16B2" w:rsidP="00FC15F7"/>
        </w:tc>
        <w:tc>
          <w:tcPr>
            <w:tcW w:w="2693" w:type="dxa"/>
          </w:tcPr>
          <w:p w14:paraId="7444A167" w14:textId="77777777" w:rsidR="008A16B2" w:rsidRDefault="008A16B2" w:rsidP="00FC15F7"/>
        </w:tc>
      </w:tr>
      <w:tr w:rsidR="008A16B2" w14:paraId="69BA07D6" w14:textId="77777777" w:rsidTr="008A16B2">
        <w:tc>
          <w:tcPr>
            <w:tcW w:w="4962" w:type="dxa"/>
          </w:tcPr>
          <w:p w14:paraId="3F50D157" w14:textId="77777777" w:rsidR="008A16B2" w:rsidRDefault="008A16B2" w:rsidP="00FC15F7">
            <w:pPr>
              <w:pStyle w:val="Retraitcorpsdetexte"/>
              <w:tabs>
                <w:tab w:val="num" w:pos="2133"/>
              </w:tabs>
              <w:ind w:left="0"/>
              <w:jc w:val="both"/>
              <w:rPr>
                <w:rFonts w:ascii="Times New Roman" w:hAnsi="Times New Roman"/>
                <w:i w:val="0"/>
                <w:kern w:val="0"/>
                <w:sz w:val="20"/>
              </w:rPr>
            </w:pPr>
            <w:r>
              <w:rPr>
                <w:rFonts w:ascii="Times New Roman" w:hAnsi="Times New Roman"/>
                <w:i w:val="0"/>
                <w:kern w:val="0"/>
                <w:sz w:val="20"/>
              </w:rPr>
              <w:t>L’opérateur s’assure qu’il dispose du matériel didactique compatible avec les exigences requises pour le type de formation dispensée (quantité, qualité, traitement rapide des pannes).</w:t>
            </w:r>
          </w:p>
          <w:p w14:paraId="1A7BD82A" w14:textId="77777777" w:rsidR="008A16B2" w:rsidRDefault="008A16B2" w:rsidP="00FC15F7">
            <w:pPr>
              <w:jc w:val="both"/>
            </w:pPr>
            <w:r>
              <w:t>Ceci est documenté (Ex. : relevé du matériel, certificats d’entretien, …).</w:t>
            </w:r>
          </w:p>
          <w:p w14:paraId="1C2089C5" w14:textId="77777777" w:rsidR="008A16B2" w:rsidRDefault="008A16B2" w:rsidP="00FC15F7">
            <w:pPr>
              <w:jc w:val="both"/>
            </w:pPr>
          </w:p>
        </w:tc>
        <w:tc>
          <w:tcPr>
            <w:tcW w:w="708" w:type="dxa"/>
          </w:tcPr>
          <w:p w14:paraId="2751FB1F" w14:textId="77777777" w:rsidR="008A16B2" w:rsidRDefault="008A16B2" w:rsidP="00FC15F7"/>
        </w:tc>
        <w:tc>
          <w:tcPr>
            <w:tcW w:w="567" w:type="dxa"/>
          </w:tcPr>
          <w:p w14:paraId="0F1BA2B7" w14:textId="77777777" w:rsidR="008A16B2" w:rsidRDefault="008A16B2" w:rsidP="00FC15F7"/>
        </w:tc>
        <w:tc>
          <w:tcPr>
            <w:tcW w:w="784" w:type="dxa"/>
            <w:gridSpan w:val="2"/>
          </w:tcPr>
          <w:p w14:paraId="323E00C7" w14:textId="77777777" w:rsidR="008A16B2" w:rsidRDefault="008A16B2" w:rsidP="00FC15F7"/>
        </w:tc>
        <w:tc>
          <w:tcPr>
            <w:tcW w:w="492" w:type="dxa"/>
          </w:tcPr>
          <w:p w14:paraId="0FB091E9" w14:textId="77777777" w:rsidR="008A16B2" w:rsidRDefault="008A16B2" w:rsidP="00FC15F7"/>
        </w:tc>
        <w:tc>
          <w:tcPr>
            <w:tcW w:w="2693" w:type="dxa"/>
          </w:tcPr>
          <w:p w14:paraId="03DA534B" w14:textId="77777777" w:rsidR="008A16B2" w:rsidRDefault="008A16B2" w:rsidP="00FC15F7"/>
        </w:tc>
      </w:tr>
      <w:tr w:rsidR="008A16B2" w14:paraId="21580DA1" w14:textId="77777777" w:rsidTr="008A16B2">
        <w:tc>
          <w:tcPr>
            <w:tcW w:w="4962" w:type="dxa"/>
          </w:tcPr>
          <w:p w14:paraId="20CB814C" w14:textId="77777777" w:rsidR="008A16B2" w:rsidRDefault="008A16B2" w:rsidP="00FC15F7">
            <w:pPr>
              <w:jc w:val="both"/>
            </w:pPr>
            <w:r>
              <w:t>L’opérateur met à disposition des apprenants les supports de cours nécessaires à la formation (syllabus, transparents, références bibliographiques, etc.)</w:t>
            </w:r>
          </w:p>
          <w:p w14:paraId="3A2C114F" w14:textId="77777777" w:rsidR="008A16B2" w:rsidRDefault="008A16B2" w:rsidP="00FC15F7">
            <w:pPr>
              <w:jc w:val="both"/>
            </w:pPr>
            <w:r>
              <w:t xml:space="preserve">Ces supports sont répertoriés. </w:t>
            </w:r>
          </w:p>
          <w:p w14:paraId="47A0CF3A" w14:textId="77777777" w:rsidR="008A16B2" w:rsidRDefault="008A16B2" w:rsidP="00FC15F7">
            <w:pPr>
              <w:jc w:val="both"/>
            </w:pPr>
          </w:p>
        </w:tc>
        <w:tc>
          <w:tcPr>
            <w:tcW w:w="708" w:type="dxa"/>
          </w:tcPr>
          <w:p w14:paraId="7F3AC181" w14:textId="77777777" w:rsidR="008A16B2" w:rsidRDefault="008A16B2" w:rsidP="00FC15F7"/>
        </w:tc>
        <w:tc>
          <w:tcPr>
            <w:tcW w:w="567" w:type="dxa"/>
          </w:tcPr>
          <w:p w14:paraId="0C1E5F1D" w14:textId="77777777" w:rsidR="008A16B2" w:rsidRDefault="008A16B2" w:rsidP="00FC15F7"/>
        </w:tc>
        <w:tc>
          <w:tcPr>
            <w:tcW w:w="784" w:type="dxa"/>
            <w:gridSpan w:val="2"/>
          </w:tcPr>
          <w:p w14:paraId="043388B9" w14:textId="77777777" w:rsidR="008A16B2" w:rsidRDefault="008A16B2" w:rsidP="00FC15F7"/>
        </w:tc>
        <w:tc>
          <w:tcPr>
            <w:tcW w:w="492" w:type="dxa"/>
          </w:tcPr>
          <w:p w14:paraId="4810C2A0" w14:textId="77777777" w:rsidR="008A16B2" w:rsidRDefault="008A16B2" w:rsidP="00FC15F7"/>
        </w:tc>
        <w:tc>
          <w:tcPr>
            <w:tcW w:w="2693" w:type="dxa"/>
          </w:tcPr>
          <w:p w14:paraId="46074E6A" w14:textId="77777777" w:rsidR="008A16B2" w:rsidRDefault="008A16B2" w:rsidP="00FC15F7"/>
        </w:tc>
      </w:tr>
      <w:tr w:rsidR="008A16B2" w14:paraId="4D444306" w14:textId="77777777" w:rsidTr="008A16B2">
        <w:tc>
          <w:tcPr>
            <w:tcW w:w="4962" w:type="dxa"/>
          </w:tcPr>
          <w:p w14:paraId="4A0F9A27" w14:textId="77777777" w:rsidR="008A16B2" w:rsidRDefault="008A16B2" w:rsidP="00FC15F7">
            <w:pPr>
              <w:jc w:val="both"/>
            </w:pPr>
            <w:r>
              <w:t>L’opérateur dispose des capacités administratives et logistiques suffisantes pour organiser les formations (secrétariat, accueil, parking, restauration, ordre et propreté des locaux, etc…).</w:t>
            </w:r>
          </w:p>
          <w:p w14:paraId="53999AA4" w14:textId="77777777" w:rsidR="008A16B2" w:rsidRDefault="008A16B2" w:rsidP="00FC15F7">
            <w:pPr>
              <w:jc w:val="both"/>
            </w:pPr>
          </w:p>
        </w:tc>
        <w:tc>
          <w:tcPr>
            <w:tcW w:w="708" w:type="dxa"/>
          </w:tcPr>
          <w:p w14:paraId="46CE6290" w14:textId="77777777" w:rsidR="008A16B2" w:rsidRDefault="008A16B2" w:rsidP="00FC15F7"/>
        </w:tc>
        <w:tc>
          <w:tcPr>
            <w:tcW w:w="567" w:type="dxa"/>
          </w:tcPr>
          <w:p w14:paraId="76A8181C" w14:textId="77777777" w:rsidR="008A16B2" w:rsidRDefault="008A16B2" w:rsidP="00FC15F7"/>
        </w:tc>
        <w:tc>
          <w:tcPr>
            <w:tcW w:w="784" w:type="dxa"/>
            <w:gridSpan w:val="2"/>
          </w:tcPr>
          <w:p w14:paraId="29B1D64C" w14:textId="77777777" w:rsidR="008A16B2" w:rsidRDefault="008A16B2" w:rsidP="00FC15F7"/>
        </w:tc>
        <w:tc>
          <w:tcPr>
            <w:tcW w:w="492" w:type="dxa"/>
          </w:tcPr>
          <w:p w14:paraId="2676D948" w14:textId="77777777" w:rsidR="008A16B2" w:rsidRDefault="008A16B2" w:rsidP="00FC15F7"/>
        </w:tc>
        <w:tc>
          <w:tcPr>
            <w:tcW w:w="2693" w:type="dxa"/>
          </w:tcPr>
          <w:p w14:paraId="387A776C" w14:textId="77777777" w:rsidR="008A16B2" w:rsidRDefault="008A16B2" w:rsidP="00FC15F7"/>
        </w:tc>
      </w:tr>
      <w:tr w:rsidR="008A16B2" w14:paraId="453C5B7B" w14:textId="77777777" w:rsidTr="008A16B2">
        <w:tc>
          <w:tcPr>
            <w:tcW w:w="4962" w:type="dxa"/>
          </w:tcPr>
          <w:p w14:paraId="4ECC2062" w14:textId="77777777" w:rsidR="008A16B2" w:rsidRDefault="008A16B2" w:rsidP="00FC15F7">
            <w:pPr>
              <w:jc w:val="both"/>
            </w:pPr>
            <w:r>
              <w:t xml:space="preserve">Concernant les formations à distance, l’opérateur est en mesure de démontrer que les connexions avec l’apprenant fonctionnent. </w:t>
            </w:r>
          </w:p>
          <w:p w14:paraId="08033C54" w14:textId="77777777" w:rsidR="008A16B2" w:rsidRDefault="008A16B2" w:rsidP="00FC15F7">
            <w:pPr>
              <w:jc w:val="both"/>
            </w:pPr>
            <w:r>
              <w:t>L’opérateur peut, sur demande du certificateur, présenter une séquence d’apprentissage à distance.</w:t>
            </w:r>
          </w:p>
        </w:tc>
        <w:tc>
          <w:tcPr>
            <w:tcW w:w="708" w:type="dxa"/>
          </w:tcPr>
          <w:p w14:paraId="7F2E0521" w14:textId="77777777" w:rsidR="008A16B2" w:rsidRDefault="008A16B2" w:rsidP="00FC15F7"/>
        </w:tc>
        <w:tc>
          <w:tcPr>
            <w:tcW w:w="567" w:type="dxa"/>
          </w:tcPr>
          <w:p w14:paraId="2387C00C" w14:textId="77777777" w:rsidR="008A16B2" w:rsidRDefault="008A16B2" w:rsidP="00FC15F7"/>
        </w:tc>
        <w:tc>
          <w:tcPr>
            <w:tcW w:w="784" w:type="dxa"/>
            <w:gridSpan w:val="2"/>
          </w:tcPr>
          <w:p w14:paraId="29DF45FB" w14:textId="77777777" w:rsidR="008A16B2" w:rsidRDefault="008A16B2" w:rsidP="00FC15F7"/>
        </w:tc>
        <w:tc>
          <w:tcPr>
            <w:tcW w:w="492" w:type="dxa"/>
          </w:tcPr>
          <w:p w14:paraId="758C7BCE" w14:textId="77777777" w:rsidR="008A16B2" w:rsidRDefault="008A16B2" w:rsidP="00FC15F7"/>
        </w:tc>
        <w:tc>
          <w:tcPr>
            <w:tcW w:w="2693" w:type="dxa"/>
          </w:tcPr>
          <w:p w14:paraId="297694EF" w14:textId="77777777" w:rsidR="008A16B2" w:rsidRDefault="008A16B2" w:rsidP="00FC15F7"/>
        </w:tc>
      </w:tr>
    </w:tbl>
    <w:p w14:paraId="378E628A" w14:textId="77777777" w:rsidR="008A16B2" w:rsidRDefault="008A16B2" w:rsidP="008A16B2">
      <w:pPr>
        <w:jc w:val="right"/>
      </w:pPr>
    </w:p>
    <w:p w14:paraId="6C670E57" w14:textId="77777777" w:rsidR="008A16B2" w:rsidRDefault="008A16B2" w:rsidP="008A16B2">
      <w:pPr>
        <w:jc w:val="center"/>
      </w:pPr>
    </w:p>
    <w:p w14:paraId="489E0103" w14:textId="77777777" w:rsidR="008A16B2" w:rsidRDefault="008A16B2" w:rsidP="008A16B2">
      <w:pPr>
        <w:jc w:val="center"/>
      </w:pPr>
    </w:p>
    <w:p w14:paraId="7099AF05" w14:textId="179D7992" w:rsidR="008A16B2" w:rsidRDefault="008A16B2" w:rsidP="008A16B2">
      <w:pPr>
        <w:jc w:val="center"/>
      </w:pPr>
    </w:p>
    <w:p w14:paraId="0F4D8D0A" w14:textId="2D28788C" w:rsidR="009662F5" w:rsidRDefault="009662F5" w:rsidP="008A16B2">
      <w:pPr>
        <w:jc w:val="center"/>
      </w:pPr>
    </w:p>
    <w:p w14:paraId="04A56A61" w14:textId="58EEC4B5" w:rsidR="009662F5" w:rsidRDefault="009662F5" w:rsidP="008A16B2">
      <w:pPr>
        <w:jc w:val="center"/>
      </w:pPr>
    </w:p>
    <w:p w14:paraId="5AFD39CE" w14:textId="3F9F7CD0" w:rsidR="009662F5" w:rsidRDefault="009662F5" w:rsidP="008A16B2">
      <w:pPr>
        <w:jc w:val="center"/>
      </w:pPr>
    </w:p>
    <w:p w14:paraId="6483FD65" w14:textId="369CF09F" w:rsidR="009662F5" w:rsidRDefault="009662F5" w:rsidP="008A16B2">
      <w:pPr>
        <w:jc w:val="center"/>
      </w:pPr>
    </w:p>
    <w:p w14:paraId="3DC7D0F0" w14:textId="35A76479" w:rsidR="009662F5" w:rsidRDefault="009662F5" w:rsidP="008A16B2">
      <w:pPr>
        <w:jc w:val="center"/>
      </w:pPr>
    </w:p>
    <w:p w14:paraId="71C65543" w14:textId="60C1ED57" w:rsidR="009662F5" w:rsidRDefault="009662F5" w:rsidP="008A16B2">
      <w:pPr>
        <w:jc w:val="center"/>
      </w:pPr>
    </w:p>
    <w:p w14:paraId="0ABB0225" w14:textId="434DE942" w:rsidR="009662F5" w:rsidRDefault="009662F5" w:rsidP="008A16B2">
      <w:pPr>
        <w:jc w:val="center"/>
      </w:pPr>
    </w:p>
    <w:p w14:paraId="1EFA5C13" w14:textId="05AB093E" w:rsidR="009662F5" w:rsidRDefault="009662F5" w:rsidP="008A16B2">
      <w:pPr>
        <w:jc w:val="center"/>
      </w:pPr>
    </w:p>
    <w:p w14:paraId="0D8E35D1" w14:textId="23B33F6F" w:rsidR="009662F5" w:rsidRDefault="009662F5" w:rsidP="008A16B2">
      <w:pPr>
        <w:jc w:val="center"/>
      </w:pPr>
    </w:p>
    <w:p w14:paraId="2E955B1E" w14:textId="32D566EA" w:rsidR="009662F5" w:rsidRDefault="009662F5" w:rsidP="008A16B2">
      <w:pPr>
        <w:jc w:val="center"/>
      </w:pPr>
    </w:p>
    <w:p w14:paraId="3FD9F0C1" w14:textId="26F5FC79" w:rsidR="009662F5" w:rsidRDefault="009662F5" w:rsidP="008A16B2">
      <w:pPr>
        <w:jc w:val="center"/>
      </w:pPr>
    </w:p>
    <w:p w14:paraId="45E37810" w14:textId="4281C9F1" w:rsidR="009662F5" w:rsidRDefault="009662F5" w:rsidP="008A16B2">
      <w:pPr>
        <w:jc w:val="center"/>
      </w:pPr>
    </w:p>
    <w:p w14:paraId="082CEB03" w14:textId="3E407801" w:rsidR="009662F5" w:rsidRDefault="009662F5" w:rsidP="008A16B2">
      <w:pPr>
        <w:jc w:val="center"/>
      </w:pPr>
    </w:p>
    <w:p w14:paraId="4A4894C1" w14:textId="5D7F9A83" w:rsidR="009662F5" w:rsidRDefault="009662F5" w:rsidP="008A16B2">
      <w:pPr>
        <w:jc w:val="center"/>
      </w:pPr>
    </w:p>
    <w:p w14:paraId="03576ABC" w14:textId="4BA66B4A" w:rsidR="009662F5" w:rsidRDefault="009662F5" w:rsidP="008A16B2">
      <w:pPr>
        <w:jc w:val="center"/>
      </w:pPr>
    </w:p>
    <w:p w14:paraId="4A6ECA2D" w14:textId="174F0774" w:rsidR="009662F5" w:rsidRDefault="009662F5" w:rsidP="008A16B2">
      <w:pPr>
        <w:jc w:val="center"/>
      </w:pPr>
    </w:p>
    <w:p w14:paraId="4DDD9E38" w14:textId="4A0BA335" w:rsidR="009662F5" w:rsidRDefault="009662F5" w:rsidP="008A16B2">
      <w:pPr>
        <w:jc w:val="center"/>
      </w:pPr>
    </w:p>
    <w:p w14:paraId="3B81126E" w14:textId="61ACC832" w:rsidR="009662F5" w:rsidRDefault="009662F5" w:rsidP="008A16B2">
      <w:pPr>
        <w:jc w:val="center"/>
      </w:pPr>
    </w:p>
    <w:p w14:paraId="3C8915E2" w14:textId="72195245" w:rsidR="009662F5" w:rsidRDefault="009662F5" w:rsidP="008A16B2">
      <w:pPr>
        <w:jc w:val="center"/>
      </w:pPr>
    </w:p>
    <w:p w14:paraId="507612BB" w14:textId="5CB97EE7" w:rsidR="009662F5" w:rsidRDefault="009662F5" w:rsidP="008A16B2">
      <w:pPr>
        <w:jc w:val="center"/>
      </w:pPr>
    </w:p>
    <w:p w14:paraId="53463E21" w14:textId="48CA6C80" w:rsidR="009662F5" w:rsidRDefault="009662F5" w:rsidP="008A16B2">
      <w:pPr>
        <w:jc w:val="center"/>
      </w:pPr>
    </w:p>
    <w:p w14:paraId="18B155A6" w14:textId="662F9167" w:rsidR="009662F5" w:rsidRDefault="009662F5" w:rsidP="008A16B2">
      <w:pPr>
        <w:jc w:val="center"/>
      </w:pPr>
    </w:p>
    <w:p w14:paraId="49E9FCED" w14:textId="3098E824" w:rsidR="009662F5" w:rsidRDefault="009662F5" w:rsidP="008A16B2">
      <w:pPr>
        <w:jc w:val="center"/>
      </w:pPr>
    </w:p>
    <w:p w14:paraId="750E70F6" w14:textId="46107CEF" w:rsidR="009662F5" w:rsidRDefault="009662F5" w:rsidP="008A16B2">
      <w:pPr>
        <w:jc w:val="center"/>
      </w:pPr>
    </w:p>
    <w:p w14:paraId="0195C880" w14:textId="6A398AA6" w:rsidR="009662F5" w:rsidRDefault="009662F5" w:rsidP="008A16B2">
      <w:pPr>
        <w:jc w:val="center"/>
      </w:pPr>
    </w:p>
    <w:p w14:paraId="3C88EC54" w14:textId="6BDF38A4" w:rsidR="009662F5" w:rsidRDefault="009662F5" w:rsidP="008A16B2">
      <w:pPr>
        <w:jc w:val="center"/>
      </w:pPr>
    </w:p>
    <w:p w14:paraId="6D8CDB85" w14:textId="4FCE658B" w:rsidR="009662F5" w:rsidRDefault="009662F5" w:rsidP="008A16B2">
      <w:pPr>
        <w:jc w:val="center"/>
      </w:pPr>
    </w:p>
    <w:p w14:paraId="3C1A5273" w14:textId="58D9CE28" w:rsidR="009662F5" w:rsidRDefault="009662F5" w:rsidP="008A16B2">
      <w:pPr>
        <w:jc w:val="center"/>
      </w:pPr>
    </w:p>
    <w:p w14:paraId="36C6C034" w14:textId="01C86568" w:rsidR="009662F5" w:rsidRDefault="009662F5" w:rsidP="008A16B2">
      <w:pPr>
        <w:jc w:val="center"/>
      </w:pPr>
    </w:p>
    <w:p w14:paraId="7FE70A70" w14:textId="5D886BB7" w:rsidR="009662F5" w:rsidRDefault="009662F5" w:rsidP="008A16B2">
      <w:pPr>
        <w:jc w:val="center"/>
      </w:pPr>
    </w:p>
    <w:p w14:paraId="55993428" w14:textId="7172B2DA" w:rsidR="009662F5" w:rsidRDefault="009662F5" w:rsidP="008A16B2">
      <w:pPr>
        <w:jc w:val="center"/>
      </w:pPr>
    </w:p>
    <w:p w14:paraId="58444A9B" w14:textId="4EEF0E6C" w:rsidR="009662F5" w:rsidRDefault="009662F5" w:rsidP="008A16B2">
      <w:pPr>
        <w:jc w:val="center"/>
      </w:pPr>
    </w:p>
    <w:p w14:paraId="44093793" w14:textId="30A5E349" w:rsidR="009662F5" w:rsidRDefault="009662F5" w:rsidP="008A16B2">
      <w:pPr>
        <w:jc w:val="center"/>
      </w:pPr>
    </w:p>
    <w:p w14:paraId="670D3C09" w14:textId="01C52148" w:rsidR="009662F5" w:rsidRDefault="009662F5" w:rsidP="008A16B2">
      <w:pPr>
        <w:jc w:val="center"/>
      </w:pPr>
    </w:p>
    <w:p w14:paraId="029A6BE0" w14:textId="79292400" w:rsidR="009662F5" w:rsidRDefault="009662F5" w:rsidP="008A16B2">
      <w:pPr>
        <w:jc w:val="center"/>
      </w:pPr>
    </w:p>
    <w:p w14:paraId="3A570A9C" w14:textId="383EC330" w:rsidR="009662F5" w:rsidRDefault="009662F5" w:rsidP="008A16B2">
      <w:pPr>
        <w:jc w:val="center"/>
      </w:pPr>
    </w:p>
    <w:p w14:paraId="139D9A1F" w14:textId="222F67DA" w:rsidR="00182308" w:rsidRDefault="00182308" w:rsidP="00182308">
      <w:pPr>
        <w:jc w:val="both"/>
        <w:rPr>
          <w:b/>
        </w:rPr>
      </w:pPr>
      <w:r w:rsidRPr="00182308">
        <w:rPr>
          <w:b/>
          <w:caps/>
          <w:u w:val="single"/>
        </w:rPr>
        <w:t>REPERTOIRE DES METIERS ET DES COMPETENCES</w:t>
      </w:r>
    </w:p>
    <w:p w14:paraId="202E50BC" w14:textId="77777777" w:rsidR="00182308" w:rsidRPr="002075E3" w:rsidRDefault="00182308" w:rsidP="00182308">
      <w:pPr>
        <w:rPr>
          <w:lang w:val="fr-BE"/>
        </w:rPr>
      </w:pPr>
    </w:p>
    <w:p w14:paraId="2BDBFBFD" w14:textId="77777777" w:rsidR="00182308" w:rsidRPr="004860D4" w:rsidRDefault="00182308" w:rsidP="00182308">
      <w:pPr>
        <w:jc w:val="both"/>
        <w:rPr>
          <w:u w:val="single"/>
        </w:rPr>
      </w:pPr>
    </w:p>
    <w:p w14:paraId="315EDB86" w14:textId="77777777" w:rsidR="00182308" w:rsidRPr="004860D4" w:rsidRDefault="00182308" w:rsidP="00182308">
      <w:pPr>
        <w:jc w:val="both"/>
      </w:pPr>
      <w:r w:rsidRPr="004860D4">
        <w:t>Pour vérifier que la formation proposée à l’agrément répond aux critères de formation qualifiante</w:t>
      </w:r>
      <w:r>
        <w:t xml:space="preserve"> </w:t>
      </w:r>
      <w:r w:rsidRPr="004860D4">
        <w:t>et générale, l’auditeur pourra se référer utilement à différentes sources d’informations relatives aux répertoires des métiers, des compétences et des formations tels que le ROME,</w:t>
      </w:r>
      <w:r>
        <w:t xml:space="preserve"> le REM,</w:t>
      </w:r>
      <w:r w:rsidRPr="004860D4">
        <w:t xml:space="preserve"> les référentiels du Service Francophones des Métiers et Qualifications (SFMQ), des référentiels sectoriels, ainsi que des rapports de veille des centres de compétence.</w:t>
      </w:r>
    </w:p>
    <w:p w14:paraId="1F186984" w14:textId="77777777" w:rsidR="00182308" w:rsidRPr="004860D4" w:rsidRDefault="00182308" w:rsidP="00182308">
      <w:pPr>
        <w:jc w:val="both"/>
      </w:pPr>
      <w:r w:rsidRPr="004860D4">
        <w:t>Vous trouverez, ci</w:t>
      </w:r>
      <w:r>
        <w:t>-</w:t>
      </w:r>
      <w:r w:rsidRPr="004860D4">
        <w:t>dessous, quelques références utiles de sites Internet en matière de référentiels :</w:t>
      </w:r>
    </w:p>
    <w:p w14:paraId="0694AB86" w14:textId="77777777" w:rsidR="00182308" w:rsidRPr="004860D4" w:rsidRDefault="00182308" w:rsidP="00182308">
      <w:pPr>
        <w:jc w:val="both"/>
      </w:pPr>
    </w:p>
    <w:p w14:paraId="1084DA7F" w14:textId="77777777" w:rsidR="00182308" w:rsidRDefault="00DC0172" w:rsidP="00182308">
      <w:hyperlink r:id="rId7" w:history="1">
        <w:r w:rsidR="00182308" w:rsidRPr="00512596">
          <w:rPr>
            <w:rStyle w:val="Lienhypertexte"/>
          </w:rPr>
          <w:t>http://www.leforem.be/particuliers/chercher/metiersporteurs/decouvrir-les-metiers-porteurs.html</w:t>
        </w:r>
      </w:hyperlink>
    </w:p>
    <w:p w14:paraId="53BEF10F" w14:textId="77777777" w:rsidR="00182308" w:rsidRPr="004860D4" w:rsidRDefault="00182308" w:rsidP="00182308">
      <w:pPr>
        <w:jc w:val="both"/>
        <w:rPr>
          <w:sz w:val="22"/>
          <w:szCs w:val="22"/>
        </w:rPr>
      </w:pPr>
    </w:p>
    <w:p w14:paraId="5F32ABC2" w14:textId="77777777" w:rsidR="00182308" w:rsidRDefault="00DC0172" w:rsidP="00182308">
      <w:hyperlink r:id="rId8" w:history="1">
        <w:r w:rsidR="00182308" w:rsidRPr="00E10C54">
          <w:rPr>
            <w:rStyle w:val="Lienhypertexte"/>
          </w:rPr>
          <w:t>http://www.sfmq.cfwb.be/index.php?id=productions</w:t>
        </w:r>
      </w:hyperlink>
    </w:p>
    <w:p w14:paraId="35F40D1D" w14:textId="77777777" w:rsidR="00182308" w:rsidRDefault="00182308" w:rsidP="00182308">
      <w:r>
        <w:br w:type="page"/>
      </w:r>
    </w:p>
    <w:p w14:paraId="51E32F62" w14:textId="77777777" w:rsidR="00182308" w:rsidRDefault="00182308" w:rsidP="009662F5">
      <w:pPr>
        <w:jc w:val="both"/>
        <w:rPr>
          <w:b/>
          <w:caps/>
          <w:u w:val="single"/>
        </w:rPr>
      </w:pPr>
    </w:p>
    <w:p w14:paraId="2683F7E8" w14:textId="68564D5F" w:rsidR="009662F5" w:rsidRPr="009662F5" w:rsidRDefault="009662F5" w:rsidP="009662F5">
      <w:pPr>
        <w:jc w:val="both"/>
        <w:rPr>
          <w:b/>
          <w:caps/>
          <w:u w:val="single"/>
        </w:rPr>
      </w:pPr>
      <w:r w:rsidRPr="009662F5">
        <w:rPr>
          <w:b/>
          <w:caps/>
          <w:u w:val="single"/>
        </w:rPr>
        <w:t>GLOSSAIRE RELATIF AU DISPOSITIF CHEQUE-FORMATION</w:t>
      </w:r>
    </w:p>
    <w:p w14:paraId="2FCA4CD5" w14:textId="77777777" w:rsidR="009662F5" w:rsidRDefault="009662F5" w:rsidP="009662F5">
      <w:pPr>
        <w:jc w:val="both"/>
      </w:pPr>
    </w:p>
    <w:p w14:paraId="7EF26124" w14:textId="77777777" w:rsidR="009662F5" w:rsidRDefault="009662F5" w:rsidP="009662F5">
      <w:pPr>
        <w:numPr>
          <w:ilvl w:val="0"/>
          <w:numId w:val="3"/>
        </w:numPr>
        <w:tabs>
          <w:tab w:val="left" w:pos="900"/>
        </w:tabs>
        <w:spacing w:after="240"/>
        <w:ind w:left="357" w:hanging="357"/>
        <w:jc w:val="both"/>
      </w:pPr>
      <w:r>
        <w:t>DOCUMENT : tout support d’information (support papier ou informatique) décrivant la méthodologie et/ou le processus mis en œuvre</w:t>
      </w:r>
    </w:p>
    <w:p w14:paraId="33859325" w14:textId="77777777" w:rsidR="009662F5" w:rsidRDefault="009662F5" w:rsidP="009662F5">
      <w:pPr>
        <w:numPr>
          <w:ilvl w:val="0"/>
          <w:numId w:val="3"/>
        </w:numPr>
        <w:tabs>
          <w:tab w:val="left" w:pos="900"/>
        </w:tabs>
        <w:spacing w:after="240"/>
        <w:ind w:left="357" w:hanging="357"/>
        <w:jc w:val="both"/>
      </w:pPr>
      <w:r>
        <w:t>ENREGISTREMENT : preuve de la réalisation d’une tâche ou de la mise en œuvre d’une procédure.</w:t>
      </w:r>
    </w:p>
    <w:p w14:paraId="266AD007" w14:textId="77777777" w:rsidR="009662F5" w:rsidRPr="00860107" w:rsidRDefault="009662F5" w:rsidP="009662F5">
      <w:pPr>
        <w:numPr>
          <w:ilvl w:val="0"/>
          <w:numId w:val="3"/>
        </w:numPr>
        <w:tabs>
          <w:tab w:val="left" w:pos="900"/>
        </w:tabs>
        <w:spacing w:after="240"/>
        <w:ind w:left="357" w:hanging="357"/>
        <w:jc w:val="both"/>
      </w:pPr>
      <w:r>
        <w:t xml:space="preserve">PROCEDURE : Mode de fonctionnement de l’opérateur de formation qu’il établit librement. </w:t>
      </w:r>
    </w:p>
    <w:p w14:paraId="6ABB715C" w14:textId="77777777" w:rsidR="009662F5" w:rsidRDefault="009662F5" w:rsidP="009662F5">
      <w:pPr>
        <w:numPr>
          <w:ilvl w:val="0"/>
          <w:numId w:val="3"/>
        </w:numPr>
        <w:tabs>
          <w:tab w:val="left" w:pos="900"/>
        </w:tabs>
        <w:jc w:val="both"/>
      </w:pPr>
      <w:r>
        <w:rPr>
          <w:u w:val="single"/>
        </w:rPr>
        <w:t>COMPETENCE</w:t>
      </w:r>
      <w:r>
        <w:t> : savoir-agir qui combine un ensemble de ressources pour faire face à une situation de travail.</w:t>
      </w:r>
    </w:p>
    <w:p w14:paraId="33F8C7F0" w14:textId="77777777" w:rsidR="009662F5" w:rsidRDefault="009662F5" w:rsidP="009662F5">
      <w:pPr>
        <w:tabs>
          <w:tab w:val="left" w:pos="900"/>
        </w:tabs>
        <w:jc w:val="both"/>
      </w:pPr>
    </w:p>
    <w:p w14:paraId="6A1B2324" w14:textId="77777777" w:rsidR="009662F5" w:rsidRDefault="009662F5" w:rsidP="009662F5">
      <w:pPr>
        <w:numPr>
          <w:ilvl w:val="0"/>
          <w:numId w:val="4"/>
        </w:numPr>
        <w:tabs>
          <w:tab w:val="left" w:pos="900"/>
        </w:tabs>
        <w:jc w:val="both"/>
      </w:pPr>
      <w:r>
        <w:rPr>
          <w:u w:val="single"/>
        </w:rPr>
        <w:t>ACTIVITE</w:t>
      </w:r>
      <w:r>
        <w:t> : les activités sont l’ensemble des actions d’un individu pour remplir les missions qui lui sont confiées dans le cadre de son poste de travail.</w:t>
      </w:r>
    </w:p>
    <w:p w14:paraId="2E201DEE" w14:textId="77777777" w:rsidR="009662F5" w:rsidRDefault="009662F5" w:rsidP="009662F5">
      <w:pPr>
        <w:tabs>
          <w:tab w:val="left" w:pos="900"/>
        </w:tabs>
        <w:jc w:val="both"/>
      </w:pPr>
    </w:p>
    <w:p w14:paraId="212904FC" w14:textId="77777777" w:rsidR="009662F5" w:rsidRDefault="009662F5" w:rsidP="009662F5">
      <w:pPr>
        <w:numPr>
          <w:ilvl w:val="0"/>
          <w:numId w:val="5"/>
        </w:numPr>
        <w:tabs>
          <w:tab w:val="left" w:pos="900"/>
        </w:tabs>
        <w:jc w:val="both"/>
      </w:pPr>
      <w:r>
        <w:rPr>
          <w:u w:val="single"/>
        </w:rPr>
        <w:t>METIER</w:t>
      </w:r>
      <w:r>
        <w:t> : ensemble cohérent d’activités professionnelles réalisées par un individu dans le cadre d’un processus productif.</w:t>
      </w:r>
    </w:p>
    <w:p w14:paraId="3DB10300" w14:textId="77777777" w:rsidR="009662F5" w:rsidRDefault="009662F5" w:rsidP="009662F5">
      <w:pPr>
        <w:tabs>
          <w:tab w:val="left" w:pos="900"/>
        </w:tabs>
        <w:jc w:val="both"/>
      </w:pPr>
    </w:p>
    <w:p w14:paraId="4ACCED78" w14:textId="701A9044" w:rsidR="009662F5" w:rsidRDefault="009662F5" w:rsidP="009662F5">
      <w:pPr>
        <w:numPr>
          <w:ilvl w:val="0"/>
          <w:numId w:val="5"/>
        </w:numPr>
        <w:tabs>
          <w:tab w:val="left" w:pos="900"/>
        </w:tabs>
        <w:jc w:val="both"/>
      </w:pPr>
      <w:r>
        <w:rPr>
          <w:u w:val="single"/>
        </w:rPr>
        <w:t>REFERENTIEL DE QUALIFICATIONS</w:t>
      </w:r>
      <w:r>
        <w:t xml:space="preserve"> (lié à un métier) : référentiel décrivant les activités et les compétences liées à l’exercice d’un métier.</w:t>
      </w:r>
    </w:p>
    <w:p w14:paraId="32BEDF99" w14:textId="77777777" w:rsidR="009662F5" w:rsidRDefault="009662F5" w:rsidP="009662F5">
      <w:pPr>
        <w:pStyle w:val="Corpsdetexte"/>
        <w:jc w:val="both"/>
        <w:rPr>
          <w:sz w:val="24"/>
        </w:rPr>
      </w:pPr>
    </w:p>
    <w:p w14:paraId="5F94C39A" w14:textId="461D68A1" w:rsidR="009662F5" w:rsidRDefault="009662F5" w:rsidP="009662F5">
      <w:pPr>
        <w:pStyle w:val="Corpsdetexte"/>
        <w:numPr>
          <w:ilvl w:val="0"/>
          <w:numId w:val="5"/>
        </w:numPr>
        <w:jc w:val="both"/>
        <w:rPr>
          <w:sz w:val="20"/>
        </w:rPr>
      </w:pPr>
      <w:r>
        <w:rPr>
          <w:sz w:val="20"/>
        </w:rPr>
        <w:t xml:space="preserve">REFERENTIEL DE FORMATION : </w:t>
      </w:r>
      <w:r>
        <w:rPr>
          <w:sz w:val="20"/>
          <w:u w:val="none"/>
        </w:rPr>
        <w:t>référentiel décrivant de manière structurée les activités de formation nécessaires à l’acquisition des compétences liées à un métier</w:t>
      </w:r>
      <w:r>
        <w:rPr>
          <w:sz w:val="20"/>
        </w:rPr>
        <w:t>.</w:t>
      </w:r>
    </w:p>
    <w:p w14:paraId="6920CEAC" w14:textId="77777777" w:rsidR="009662F5" w:rsidRDefault="009662F5" w:rsidP="009662F5">
      <w:pPr>
        <w:pStyle w:val="Corpsdetexte"/>
        <w:jc w:val="both"/>
        <w:rPr>
          <w:sz w:val="20"/>
        </w:rPr>
      </w:pPr>
    </w:p>
    <w:p w14:paraId="2AA5939F" w14:textId="77777777" w:rsidR="009662F5" w:rsidRDefault="009662F5" w:rsidP="009662F5">
      <w:pPr>
        <w:pStyle w:val="Corpsdetexte"/>
        <w:ind w:left="360"/>
        <w:jc w:val="both"/>
        <w:rPr>
          <w:sz w:val="20"/>
        </w:rPr>
      </w:pPr>
    </w:p>
    <w:p w14:paraId="2D1D0D42" w14:textId="77777777" w:rsidR="009662F5" w:rsidRDefault="009662F5" w:rsidP="009662F5">
      <w:pPr>
        <w:pStyle w:val="Corpsdetexte"/>
        <w:numPr>
          <w:ilvl w:val="0"/>
          <w:numId w:val="6"/>
        </w:numPr>
        <w:jc w:val="both"/>
        <w:rPr>
          <w:sz w:val="20"/>
          <w:u w:val="none"/>
        </w:rPr>
      </w:pPr>
      <w:r>
        <w:rPr>
          <w:sz w:val="20"/>
        </w:rPr>
        <w:t xml:space="preserve">FORMATION CONTINUE : </w:t>
      </w:r>
      <w:r>
        <w:rPr>
          <w:sz w:val="20"/>
          <w:u w:val="none"/>
        </w:rPr>
        <w:t>formation dispensée au bénéfice de travailleurs liés par un contrat de travail à une entreprise, de travailleurs intérimaires, ou de travailleurs indépendants.</w:t>
      </w:r>
    </w:p>
    <w:p w14:paraId="4E92764A" w14:textId="77777777" w:rsidR="009662F5" w:rsidRDefault="009662F5" w:rsidP="009662F5">
      <w:pPr>
        <w:pStyle w:val="Corpsdetexte"/>
        <w:ind w:left="360"/>
        <w:jc w:val="both"/>
        <w:rPr>
          <w:sz w:val="20"/>
        </w:rPr>
      </w:pPr>
    </w:p>
    <w:p w14:paraId="63D0E280" w14:textId="77777777" w:rsidR="009662F5" w:rsidRDefault="009662F5" w:rsidP="009662F5">
      <w:pPr>
        <w:pStyle w:val="Corpsdetexte"/>
        <w:numPr>
          <w:ilvl w:val="0"/>
          <w:numId w:val="6"/>
        </w:numPr>
        <w:jc w:val="both"/>
        <w:rPr>
          <w:sz w:val="20"/>
        </w:rPr>
      </w:pPr>
      <w:r>
        <w:rPr>
          <w:sz w:val="20"/>
        </w:rPr>
        <w:t>FORMATION INTER-ENTREPRISES :</w:t>
      </w:r>
      <w:r>
        <w:rPr>
          <w:sz w:val="20"/>
          <w:u w:val="none"/>
        </w:rPr>
        <w:t xml:space="preserve"> formation organisée à l’attention de travailleurs de plusieurs entreprises ou de travailleurs indépendants.</w:t>
      </w:r>
    </w:p>
    <w:p w14:paraId="5F8E3EBC" w14:textId="77777777" w:rsidR="009662F5" w:rsidRDefault="009662F5" w:rsidP="009662F5">
      <w:pPr>
        <w:pStyle w:val="Corpsdetexte"/>
        <w:ind w:left="360"/>
        <w:jc w:val="both"/>
        <w:rPr>
          <w:sz w:val="20"/>
        </w:rPr>
      </w:pPr>
    </w:p>
    <w:p w14:paraId="6F09A443" w14:textId="77777777" w:rsidR="009662F5" w:rsidRDefault="009662F5" w:rsidP="009662F5">
      <w:pPr>
        <w:pStyle w:val="Corpsdetexte"/>
        <w:numPr>
          <w:ilvl w:val="0"/>
          <w:numId w:val="6"/>
        </w:numPr>
        <w:jc w:val="both"/>
        <w:rPr>
          <w:sz w:val="20"/>
          <w:u w:val="none"/>
        </w:rPr>
      </w:pPr>
      <w:r>
        <w:rPr>
          <w:sz w:val="20"/>
        </w:rPr>
        <w:t>FORMATION INTRA-ENTREPRISE :</w:t>
      </w:r>
      <w:r>
        <w:rPr>
          <w:sz w:val="20"/>
          <w:u w:val="none"/>
        </w:rPr>
        <w:t xml:space="preserve"> formation organisée spécifiquement à l’attention des travailleurs d’une même entreprise.</w:t>
      </w:r>
    </w:p>
    <w:p w14:paraId="5FEF82BE" w14:textId="77777777" w:rsidR="009662F5" w:rsidRDefault="009662F5" w:rsidP="009662F5">
      <w:pPr>
        <w:pStyle w:val="Corpsdetexte"/>
        <w:jc w:val="both"/>
        <w:rPr>
          <w:sz w:val="20"/>
        </w:rPr>
      </w:pPr>
    </w:p>
    <w:p w14:paraId="02779C27" w14:textId="7143BFED" w:rsidR="009662F5" w:rsidRDefault="009662F5" w:rsidP="009662F5">
      <w:pPr>
        <w:pStyle w:val="Corpsdetexte"/>
        <w:numPr>
          <w:ilvl w:val="0"/>
          <w:numId w:val="6"/>
        </w:numPr>
        <w:jc w:val="both"/>
        <w:rPr>
          <w:sz w:val="20"/>
          <w:u w:val="none"/>
        </w:rPr>
      </w:pPr>
      <w:r>
        <w:rPr>
          <w:sz w:val="20"/>
        </w:rPr>
        <w:t xml:space="preserve">FORMATION A DISTANCE : </w:t>
      </w:r>
      <w:r>
        <w:rPr>
          <w:sz w:val="20"/>
          <w:u w:val="none"/>
        </w:rPr>
        <w:t>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14:paraId="41AE3193" w14:textId="77777777" w:rsidR="009662F5" w:rsidRDefault="009662F5" w:rsidP="009662F5">
      <w:pPr>
        <w:pStyle w:val="Corpsdetexte"/>
        <w:ind w:left="360"/>
        <w:jc w:val="both"/>
        <w:rPr>
          <w:sz w:val="20"/>
        </w:rPr>
      </w:pPr>
    </w:p>
    <w:p w14:paraId="52B0B117" w14:textId="4F26E653" w:rsidR="009662F5" w:rsidRDefault="009662F5" w:rsidP="009662F5">
      <w:pPr>
        <w:pStyle w:val="Corpsdetexte"/>
        <w:numPr>
          <w:ilvl w:val="0"/>
          <w:numId w:val="6"/>
        </w:numPr>
        <w:jc w:val="both"/>
        <w:rPr>
          <w:sz w:val="20"/>
          <w:u w:val="none"/>
        </w:rPr>
      </w:pPr>
      <w:r>
        <w:rPr>
          <w:sz w:val="20"/>
        </w:rPr>
        <w:t xml:space="preserve">SIEGE PRINCIPAL D’ACTIVITES : </w:t>
      </w:r>
      <w:r>
        <w:rPr>
          <w:sz w:val="20"/>
          <w:u w:val="none"/>
        </w:rPr>
        <w:t>lieu disposant de moyens humains affectés en permanence et où se déroulent des activités récurrentes en rapport avec l’objet social et le secteur d’activités de l’entreprise (art. 3 de l’AGW du 1</w:t>
      </w:r>
      <w:r>
        <w:rPr>
          <w:sz w:val="20"/>
          <w:u w:val="none"/>
          <w:vertAlign w:val="superscript"/>
        </w:rPr>
        <w:t>er</w:t>
      </w:r>
      <w:r>
        <w:rPr>
          <w:sz w:val="20"/>
          <w:u w:val="none"/>
        </w:rPr>
        <w:t xml:space="preserve"> avril 2004).</w:t>
      </w:r>
    </w:p>
    <w:p w14:paraId="5F86A448" w14:textId="77777777" w:rsidR="009662F5" w:rsidRDefault="009662F5" w:rsidP="009662F5">
      <w:pPr>
        <w:pStyle w:val="Corpsdetexte"/>
        <w:ind w:left="360"/>
        <w:jc w:val="both"/>
        <w:rPr>
          <w:sz w:val="20"/>
        </w:rPr>
      </w:pPr>
    </w:p>
    <w:p w14:paraId="4B5951B2" w14:textId="77777777" w:rsidR="009662F5" w:rsidRDefault="009662F5" w:rsidP="009662F5">
      <w:pPr>
        <w:pStyle w:val="Corpsdetexte"/>
        <w:numPr>
          <w:ilvl w:val="0"/>
          <w:numId w:val="6"/>
        </w:numPr>
        <w:jc w:val="both"/>
        <w:rPr>
          <w:sz w:val="20"/>
          <w:u w:val="none"/>
        </w:rPr>
      </w:pPr>
      <w:r>
        <w:rPr>
          <w:sz w:val="20"/>
        </w:rPr>
        <w:t xml:space="preserve">VACATAIRE INDEPENDANT : </w:t>
      </w:r>
      <w:r>
        <w:rPr>
          <w:sz w:val="20"/>
          <w:u w:val="none"/>
        </w:rPr>
        <w:t>formateur indépendant qui facture ses prestations en sous-traitance à l’opérateur de formation (ce vacataire ne doit pas nécessairement être agréé).</w:t>
      </w:r>
    </w:p>
    <w:p w14:paraId="3C9FF6F3" w14:textId="77777777" w:rsidR="009662F5" w:rsidRDefault="009662F5" w:rsidP="009662F5">
      <w:pPr>
        <w:pStyle w:val="Corpsdetexte"/>
        <w:ind w:left="360"/>
        <w:jc w:val="both"/>
        <w:rPr>
          <w:sz w:val="20"/>
        </w:rPr>
      </w:pPr>
    </w:p>
    <w:p w14:paraId="5FD1A796" w14:textId="225EE87A" w:rsidR="009662F5" w:rsidRDefault="009662F5" w:rsidP="009662F5">
      <w:pPr>
        <w:pStyle w:val="Corpsdetexte"/>
        <w:numPr>
          <w:ilvl w:val="0"/>
          <w:numId w:val="6"/>
        </w:numPr>
        <w:jc w:val="both"/>
        <w:rPr>
          <w:sz w:val="20"/>
        </w:rPr>
      </w:pPr>
      <w:r>
        <w:rPr>
          <w:sz w:val="20"/>
        </w:rPr>
        <w:t xml:space="preserve">VACATAIRE SOUS CONTRAT D’ENTREPRISE : </w:t>
      </w:r>
      <w:r>
        <w:rPr>
          <w:sz w:val="20"/>
          <w:u w:val="none"/>
        </w:rPr>
        <w:t>formateur indépendant qui facture ses prestations en sous-traitance à l’opérateur de formation, via une société (dans ce cas, la société doit être agréée).</w:t>
      </w:r>
    </w:p>
    <w:p w14:paraId="09170122" w14:textId="77777777" w:rsidR="009662F5" w:rsidRPr="00443B40" w:rsidRDefault="009662F5" w:rsidP="009662F5">
      <w:pPr>
        <w:autoSpaceDE w:val="0"/>
        <w:ind w:left="360"/>
        <w:jc w:val="both"/>
      </w:pPr>
    </w:p>
    <w:p w14:paraId="52932E72" w14:textId="77777777" w:rsidR="009662F5" w:rsidRPr="00443B40" w:rsidRDefault="009662F5" w:rsidP="009662F5">
      <w:pPr>
        <w:numPr>
          <w:ilvl w:val="0"/>
          <w:numId w:val="6"/>
        </w:numPr>
        <w:autoSpaceDE w:val="0"/>
        <w:jc w:val="both"/>
      </w:pPr>
      <w:r w:rsidRPr="004860D4">
        <w:rPr>
          <w:u w:val="single"/>
        </w:rPr>
        <w:t>ENQUÊTE SATISFACTION APPRENANT</w:t>
      </w:r>
      <w:r w:rsidRPr="00443B40">
        <w:rPr>
          <w:b/>
        </w:rPr>
        <w:t> :</w:t>
      </w:r>
      <w:r w:rsidRPr="00443B40">
        <w:t xml:space="preserve"> mettre en évidence l’évolution des motifs de satisfaction légitimes des apprenants en fin de formation concernant l’accueil, l’accompagnement administratif, la convivialité des locaux, l’efficacité des moyens didactiques, les supports de formation, les commodités offertes par l’OF, (liste non exhaustive).</w:t>
      </w:r>
    </w:p>
    <w:p w14:paraId="7369B4FC" w14:textId="77777777" w:rsidR="009662F5" w:rsidRPr="00443B40" w:rsidRDefault="009662F5" w:rsidP="009662F5">
      <w:pPr>
        <w:autoSpaceDE w:val="0"/>
        <w:ind w:left="360"/>
        <w:jc w:val="both"/>
      </w:pPr>
    </w:p>
    <w:p w14:paraId="39512521" w14:textId="77777777" w:rsidR="009662F5" w:rsidRDefault="009662F5" w:rsidP="009662F5">
      <w:pPr>
        <w:numPr>
          <w:ilvl w:val="0"/>
          <w:numId w:val="6"/>
        </w:numPr>
        <w:autoSpaceDE w:val="0"/>
        <w:jc w:val="both"/>
      </w:pPr>
      <w:r w:rsidRPr="004860D4">
        <w:rPr>
          <w:u w:val="single"/>
        </w:rPr>
        <w:t>ENQUÊTE SATISFACTION COMMANDITAIRE</w:t>
      </w:r>
      <w:r w:rsidRPr="00443B40">
        <w:rPr>
          <w:b/>
        </w:rPr>
        <w:t> :</w:t>
      </w:r>
      <w:r w:rsidRPr="00443B40">
        <w:t xml:space="preserve"> mettre en évidence l’évolution des motifs de satisfaction légitimes du commanditaire après la formation concernant, entre autres motifs, le transfert effectif des compétences vers l’apprenant et leurs mises en œuvre.</w:t>
      </w:r>
    </w:p>
    <w:p w14:paraId="790A26F2" w14:textId="77777777" w:rsidR="009662F5" w:rsidRDefault="009662F5" w:rsidP="009662F5">
      <w:pPr>
        <w:pStyle w:val="Paragraphedeliste"/>
        <w:ind w:left="0"/>
        <w:jc w:val="both"/>
      </w:pPr>
    </w:p>
    <w:p w14:paraId="15850874" w14:textId="77777777" w:rsidR="009662F5" w:rsidRDefault="009662F5" w:rsidP="009662F5">
      <w:pPr>
        <w:numPr>
          <w:ilvl w:val="0"/>
          <w:numId w:val="6"/>
        </w:numPr>
        <w:autoSpaceDE w:val="0"/>
        <w:jc w:val="both"/>
      </w:pPr>
      <w:r>
        <w:lastRenderedPageBreak/>
        <w:t>NON-CONFORMITE MINEURE : Non-respect non systématique des exigences d’un niveau de base ou d’un niveau supérieur d’un ou plusieurs processus de réalisation. La mise en œuvre des actions correctives est évaluée par l’organisme de certification par la transmission, au maximum trois mois après l’audit des preuves nécessaires à la démonstration de la mise en œuvre de l’action ou des actions corrective(s).</w:t>
      </w:r>
    </w:p>
    <w:p w14:paraId="2BA20B68" w14:textId="77777777" w:rsidR="009662F5" w:rsidRDefault="009662F5" w:rsidP="009662F5">
      <w:pPr>
        <w:pStyle w:val="Paragraphedeliste"/>
        <w:jc w:val="both"/>
      </w:pPr>
    </w:p>
    <w:p w14:paraId="029C5047" w14:textId="77777777" w:rsidR="009662F5" w:rsidRDefault="009662F5" w:rsidP="009662F5">
      <w:pPr>
        <w:numPr>
          <w:ilvl w:val="0"/>
          <w:numId w:val="6"/>
        </w:numPr>
        <w:autoSpaceDE w:val="0"/>
        <w:jc w:val="both"/>
      </w:pPr>
      <w:r>
        <w:t>NON-CONFORMITE MAJEURE : Une non-conformité majeure résulte soit d’un non-respect systématique des exigences des conditions de certification pour un ou plusieurs processus, soit de la non-prise en compte d’une ou plusieurs non-conformité(s) mineure(s) des exigences de certification pour un ou plusieurs processus. La non-conformité majeure entraîne une évaluation négative du processus concerné.</w:t>
      </w:r>
    </w:p>
    <w:p w14:paraId="41C06FD0" w14:textId="77777777" w:rsidR="009662F5" w:rsidRDefault="009662F5" w:rsidP="009662F5">
      <w:pPr>
        <w:pStyle w:val="Paragraphedeliste"/>
      </w:pPr>
    </w:p>
    <w:p w14:paraId="0E8E4500" w14:textId="77777777" w:rsidR="009662F5" w:rsidRDefault="009662F5" w:rsidP="009662F5">
      <w:pPr>
        <w:autoSpaceDE w:val="0"/>
        <w:ind w:left="360"/>
        <w:jc w:val="both"/>
      </w:pPr>
    </w:p>
    <w:p w14:paraId="14E4FDA0" w14:textId="77777777" w:rsidR="009662F5" w:rsidRDefault="009662F5" w:rsidP="008A16B2">
      <w:pPr>
        <w:jc w:val="center"/>
      </w:pPr>
    </w:p>
    <w:p w14:paraId="52DC5856" w14:textId="77777777" w:rsidR="008A16B2" w:rsidRDefault="008A16B2" w:rsidP="008A16B2">
      <w:pPr>
        <w:jc w:val="center"/>
      </w:pPr>
    </w:p>
    <w:p w14:paraId="6A35CF74" w14:textId="77777777" w:rsidR="008A16B2" w:rsidRDefault="008A16B2" w:rsidP="008A16B2">
      <w:pPr>
        <w:jc w:val="center"/>
      </w:pPr>
    </w:p>
    <w:p w14:paraId="6B526E28" w14:textId="77777777" w:rsidR="00640F55" w:rsidRDefault="00640F55"/>
    <w:sectPr w:rsidR="00640F5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7528" w14:textId="77777777" w:rsidR="007B7015" w:rsidRDefault="007B7015" w:rsidP="008A16B2">
      <w:r>
        <w:separator/>
      </w:r>
    </w:p>
  </w:endnote>
  <w:endnote w:type="continuationSeparator" w:id="0">
    <w:p w14:paraId="63D02309" w14:textId="77777777" w:rsidR="007B7015" w:rsidRDefault="007B7015" w:rsidP="008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7220" w14:textId="77777777" w:rsidR="00DC0172" w:rsidRDefault="00DC01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BEE3" w14:textId="7704DC6C" w:rsidR="00DC0172" w:rsidRDefault="00DC0172">
    <w:pPr>
      <w:pStyle w:val="Pieddepage"/>
    </w:pPr>
    <w:r>
      <w:rPr>
        <w:noProof/>
      </w:rPr>
      <w:drawing>
        <wp:inline distT="0" distB="0" distL="0" distR="0" wp14:anchorId="3AB28D8F" wp14:editId="127D1B02">
          <wp:extent cx="1320056" cy="5167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35886" cy="522898"/>
                  </a:xfrm>
                  <a:prstGeom prst="rect">
                    <a:avLst/>
                  </a:prstGeom>
                </pic:spPr>
              </pic:pic>
            </a:graphicData>
          </a:graphic>
        </wp:inline>
      </w:drawing>
    </w:r>
  </w:p>
  <w:p w14:paraId="3263541F" w14:textId="62B375BD" w:rsidR="00DC0172" w:rsidRDefault="00DC01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A632" w14:textId="77777777" w:rsidR="00DC0172" w:rsidRDefault="00DC01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4AE3" w14:textId="77777777" w:rsidR="007B7015" w:rsidRDefault="007B7015" w:rsidP="008A16B2">
      <w:r>
        <w:separator/>
      </w:r>
    </w:p>
  </w:footnote>
  <w:footnote w:type="continuationSeparator" w:id="0">
    <w:p w14:paraId="4279E5B4" w14:textId="77777777" w:rsidR="007B7015" w:rsidRDefault="007B7015" w:rsidP="008A16B2">
      <w:r>
        <w:continuationSeparator/>
      </w:r>
    </w:p>
  </w:footnote>
  <w:footnote w:id="1">
    <w:p w14:paraId="2D648AC8" w14:textId="1E4F6EB1" w:rsidR="008A16B2" w:rsidRDefault="008A16B2" w:rsidP="008A16B2">
      <w:pPr>
        <w:pStyle w:val="Notedebasdepage"/>
      </w:pPr>
      <w:r>
        <w:rPr>
          <w:rStyle w:val="Appelnotedebasdep"/>
        </w:rPr>
        <w:footnoteRef/>
      </w:r>
      <w:r>
        <w:t xml:space="preserve"> Vous trouverez en annexe </w:t>
      </w:r>
      <w:r w:rsidR="009662F5">
        <w:t>au</w:t>
      </w:r>
      <w:r w:rsidR="00182308">
        <w:t>x</w:t>
      </w:r>
      <w:r w:rsidR="009662F5">
        <w:t xml:space="preserve"> deux dernières pages de ce document</w:t>
      </w:r>
      <w:r>
        <w:t xml:space="preserve">, un glossaire reprenant les principales notions utilisées dans le présent questionnaire. </w:t>
      </w:r>
    </w:p>
  </w:footnote>
  <w:footnote w:id="2">
    <w:p w14:paraId="052CD4E1" w14:textId="77777777" w:rsidR="008A16B2" w:rsidRPr="007C154C" w:rsidRDefault="008A16B2" w:rsidP="008A16B2">
      <w:pPr>
        <w:pStyle w:val="Notedebasdepage"/>
        <w:jc w:val="both"/>
        <w:rPr>
          <w:sz w:val="16"/>
          <w:szCs w:val="16"/>
        </w:rPr>
      </w:pPr>
      <w:r w:rsidRPr="007C154C">
        <w:rPr>
          <w:rStyle w:val="Appelnotedebasdep"/>
          <w:sz w:val="16"/>
          <w:szCs w:val="16"/>
        </w:rPr>
        <w:footnoteRef/>
      </w:r>
      <w:r w:rsidRPr="007C154C">
        <w:rPr>
          <w:sz w:val="16"/>
          <w:szCs w:val="16"/>
        </w:rPr>
        <w:t xml:space="preserve"> art 12, 3° : </w:t>
      </w:r>
      <w:r w:rsidRPr="007C154C">
        <w:rPr>
          <w:color w:val="343434"/>
          <w:sz w:val="16"/>
          <w:szCs w:val="16"/>
        </w:rPr>
        <w:t>Les formations ne peuvent en aucun cas concerner des formations liées à l'</w:t>
      </w:r>
      <w:r w:rsidRPr="007C154C">
        <w:rPr>
          <w:b/>
          <w:color w:val="343434"/>
          <w:sz w:val="16"/>
          <w:szCs w:val="16"/>
        </w:rPr>
        <w:t>orientation</w:t>
      </w:r>
      <w:r w:rsidRPr="007C154C">
        <w:rPr>
          <w:color w:val="343434"/>
          <w:sz w:val="16"/>
          <w:szCs w:val="16"/>
        </w:rPr>
        <w:t xml:space="preserve"> et la réorientation </w:t>
      </w:r>
      <w:r w:rsidRPr="007C154C">
        <w:rPr>
          <w:b/>
          <w:color w:val="343434"/>
          <w:sz w:val="16"/>
          <w:szCs w:val="16"/>
        </w:rPr>
        <w:t xml:space="preserve">professionnelle </w:t>
      </w:r>
      <w:r w:rsidRPr="007C154C">
        <w:rPr>
          <w:color w:val="343434"/>
          <w:sz w:val="16"/>
          <w:szCs w:val="16"/>
        </w:rPr>
        <w:t xml:space="preserve">consistant en un accompagnement dans la détermination et la construction de son projet personnel et professionnel ; en l‘acquisition de connaissances destinées à exercer une fonction de service après-vente (ex. services d’information sur l’utilisation d’outils) ; </w:t>
      </w:r>
      <w:r w:rsidRPr="007C154C">
        <w:rPr>
          <w:b/>
          <w:color w:val="343434"/>
          <w:sz w:val="16"/>
          <w:szCs w:val="16"/>
        </w:rPr>
        <w:t xml:space="preserve">l'acquisition principale de compétences comportementales et relationnelles </w:t>
      </w:r>
      <w:r w:rsidRPr="007C154C">
        <w:rPr>
          <w:color w:val="343434"/>
          <w:sz w:val="16"/>
          <w:szCs w:val="16"/>
        </w:rPr>
        <w:t xml:space="preserve">tels que les domaines du bien-être, du développement personnel et du coaching ; les </w:t>
      </w:r>
      <w:r w:rsidRPr="007C154C">
        <w:rPr>
          <w:b/>
          <w:color w:val="343434"/>
          <w:sz w:val="16"/>
          <w:szCs w:val="16"/>
        </w:rPr>
        <w:t>formations à vocation artistique</w:t>
      </w:r>
      <w:r w:rsidRPr="007C154C">
        <w:rPr>
          <w:color w:val="343434"/>
          <w:sz w:val="16"/>
          <w:szCs w:val="16"/>
        </w:rPr>
        <w:t xml:space="preserve">, les formations relevant des </w:t>
      </w:r>
      <w:r w:rsidRPr="007C154C">
        <w:rPr>
          <w:b/>
          <w:color w:val="343434"/>
          <w:sz w:val="16"/>
          <w:szCs w:val="16"/>
        </w:rPr>
        <w:t>médecines non conventionnelles et non reconnues par l'Institut national d'assurance maladie-invalidité </w:t>
      </w:r>
      <w:r w:rsidRPr="007C154C">
        <w:rPr>
          <w:color w:val="343434"/>
          <w:sz w:val="16"/>
          <w:szCs w:val="16"/>
        </w:rPr>
        <w:t>; les f</w:t>
      </w:r>
      <w:r w:rsidRPr="007C154C">
        <w:rPr>
          <w:b/>
          <w:color w:val="343434"/>
          <w:sz w:val="16"/>
          <w:szCs w:val="16"/>
        </w:rPr>
        <w:t>ormations</w:t>
      </w:r>
      <w:r w:rsidRPr="007C154C">
        <w:rPr>
          <w:color w:val="343434"/>
          <w:sz w:val="16"/>
          <w:szCs w:val="16"/>
        </w:rPr>
        <w:t xml:space="preserve"> qui visent l'apprentissage de savoir, d'aptitude et de savoir-être </w:t>
      </w:r>
      <w:r w:rsidRPr="007C154C">
        <w:rPr>
          <w:b/>
          <w:color w:val="343434"/>
          <w:sz w:val="16"/>
          <w:szCs w:val="16"/>
        </w:rPr>
        <w:t>spécifiques à l'entreprise du travailleur</w:t>
      </w:r>
      <w:r w:rsidRPr="007C154C">
        <w:rPr>
          <w:color w:val="343434"/>
          <w:sz w:val="16"/>
          <w:szCs w:val="16"/>
        </w:rPr>
        <w:t xml:space="preserve"> ou toute autre formation que le Gouvernement exclut. Le Gouvernement peut préciser ces exclusions.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22D2" w14:textId="77777777" w:rsidR="00DC0172" w:rsidRDefault="00DC01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5FD9" w14:textId="77777777" w:rsidR="00DC0172" w:rsidRDefault="00DC01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D68B" w14:textId="77777777" w:rsidR="00DC0172" w:rsidRDefault="00DC01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DFF"/>
    <w:multiLevelType w:val="singleLevel"/>
    <w:tmpl w:val="B92A3734"/>
    <w:lvl w:ilvl="0">
      <w:start w:val="2"/>
      <w:numFmt w:val="bullet"/>
      <w:lvlText w:val="-"/>
      <w:lvlJc w:val="left"/>
      <w:pPr>
        <w:tabs>
          <w:tab w:val="num" w:pos="360"/>
        </w:tabs>
        <w:ind w:left="360" w:hanging="360"/>
      </w:pPr>
      <w:rPr>
        <w:rFonts w:hint="default"/>
      </w:rPr>
    </w:lvl>
  </w:abstractNum>
  <w:abstractNum w:abstractNumId="1" w15:restartNumberingAfterBreak="0">
    <w:nsid w:val="499D56EC"/>
    <w:multiLevelType w:val="singleLevel"/>
    <w:tmpl w:val="B92A3734"/>
    <w:lvl w:ilvl="0">
      <w:start w:val="2"/>
      <w:numFmt w:val="bullet"/>
      <w:lvlText w:val="-"/>
      <w:lvlJc w:val="left"/>
      <w:pPr>
        <w:tabs>
          <w:tab w:val="num" w:pos="360"/>
        </w:tabs>
        <w:ind w:left="360" w:hanging="360"/>
      </w:pPr>
      <w:rPr>
        <w:rFonts w:hint="default"/>
      </w:rPr>
    </w:lvl>
  </w:abstractNum>
  <w:abstractNum w:abstractNumId="2" w15:restartNumberingAfterBreak="0">
    <w:nsid w:val="501B6150"/>
    <w:multiLevelType w:val="singleLevel"/>
    <w:tmpl w:val="B92A3734"/>
    <w:lvl w:ilvl="0">
      <w:start w:val="2"/>
      <w:numFmt w:val="bullet"/>
      <w:lvlText w:val="-"/>
      <w:lvlJc w:val="left"/>
      <w:pPr>
        <w:tabs>
          <w:tab w:val="num" w:pos="360"/>
        </w:tabs>
        <w:ind w:left="360" w:hanging="360"/>
      </w:pPr>
      <w:rPr>
        <w:rFonts w:hint="default"/>
      </w:rPr>
    </w:lvl>
  </w:abstractNum>
  <w:abstractNum w:abstractNumId="3" w15:restartNumberingAfterBreak="0">
    <w:nsid w:val="510E40F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D8463E0"/>
    <w:multiLevelType w:val="singleLevel"/>
    <w:tmpl w:val="B92A3734"/>
    <w:lvl w:ilvl="0">
      <w:start w:val="2"/>
      <w:numFmt w:val="bullet"/>
      <w:lvlText w:val="-"/>
      <w:lvlJc w:val="left"/>
      <w:pPr>
        <w:tabs>
          <w:tab w:val="num" w:pos="360"/>
        </w:tabs>
        <w:ind w:left="360" w:hanging="360"/>
      </w:pPr>
      <w:rPr>
        <w:rFonts w:hint="default"/>
      </w:rPr>
    </w:lvl>
  </w:abstractNum>
  <w:abstractNum w:abstractNumId="5" w15:restartNumberingAfterBreak="0">
    <w:nsid w:val="6B9D33EE"/>
    <w:multiLevelType w:val="hybridMultilevel"/>
    <w:tmpl w:val="BF9665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B2"/>
    <w:rsid w:val="00182308"/>
    <w:rsid w:val="001E75F9"/>
    <w:rsid w:val="00640F55"/>
    <w:rsid w:val="007B7015"/>
    <w:rsid w:val="008A16B2"/>
    <w:rsid w:val="009662F5"/>
    <w:rsid w:val="00DC0172"/>
    <w:rsid w:val="00FE79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1608"/>
  <w15:chartTrackingRefBased/>
  <w15:docId w15:val="{E7BBE709-E401-45B8-88DE-D43761AC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B2"/>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8A16B2"/>
    <w:pPr>
      <w:keepNext/>
      <w:spacing w:before="240" w:after="60"/>
      <w:outlineLvl w:val="0"/>
    </w:pPr>
    <w:rPr>
      <w:rFonts w:ascii="Arial" w:hAnsi="Arial"/>
      <w:b/>
      <w:kern w:val="28"/>
      <w:sz w:val="28"/>
      <w:lang w:val="fr-BE"/>
    </w:rPr>
  </w:style>
  <w:style w:type="paragraph" w:styleId="Titre3">
    <w:name w:val="heading 3"/>
    <w:basedOn w:val="Normal"/>
    <w:next w:val="Normal"/>
    <w:link w:val="Titre3Car"/>
    <w:uiPriority w:val="9"/>
    <w:semiHidden/>
    <w:unhideWhenUsed/>
    <w:qFormat/>
    <w:rsid w:val="001823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16B2"/>
    <w:rPr>
      <w:rFonts w:ascii="Arial" w:eastAsia="Times New Roman" w:hAnsi="Arial" w:cs="Times New Roman"/>
      <w:b/>
      <w:kern w:val="28"/>
      <w:sz w:val="28"/>
      <w:szCs w:val="20"/>
      <w:lang w:eastAsia="fr-FR"/>
    </w:rPr>
  </w:style>
  <w:style w:type="paragraph" w:styleId="Corpsdetexte">
    <w:name w:val="Body Text"/>
    <w:basedOn w:val="Normal"/>
    <w:link w:val="CorpsdetexteCar"/>
    <w:semiHidden/>
    <w:rsid w:val="008A16B2"/>
    <w:pPr>
      <w:jc w:val="center"/>
    </w:pPr>
    <w:rPr>
      <w:kern w:val="28"/>
      <w:sz w:val="28"/>
      <w:u w:val="single"/>
      <w:lang w:val="fr-BE"/>
    </w:rPr>
  </w:style>
  <w:style w:type="character" w:customStyle="1" w:styleId="CorpsdetexteCar">
    <w:name w:val="Corps de texte Car"/>
    <w:basedOn w:val="Policepardfaut"/>
    <w:link w:val="Corpsdetexte"/>
    <w:semiHidden/>
    <w:rsid w:val="008A16B2"/>
    <w:rPr>
      <w:rFonts w:ascii="Times New Roman" w:eastAsia="Times New Roman" w:hAnsi="Times New Roman" w:cs="Times New Roman"/>
      <w:kern w:val="28"/>
      <w:sz w:val="28"/>
      <w:szCs w:val="20"/>
      <w:u w:val="single"/>
      <w:lang w:eastAsia="fr-FR"/>
    </w:rPr>
  </w:style>
  <w:style w:type="character" w:styleId="Appelnotedebasdep">
    <w:name w:val="footnote reference"/>
    <w:rsid w:val="008A16B2"/>
    <w:rPr>
      <w:vertAlign w:val="superscript"/>
    </w:rPr>
  </w:style>
  <w:style w:type="paragraph" w:styleId="Retraitcorpsdetexte3">
    <w:name w:val="Body Text Indent 3"/>
    <w:basedOn w:val="Normal"/>
    <w:link w:val="Retraitcorpsdetexte3Car"/>
    <w:semiHidden/>
    <w:rsid w:val="008A16B2"/>
    <w:pPr>
      <w:ind w:left="1260"/>
    </w:pPr>
    <w:rPr>
      <w:rFonts w:ascii="Bookman Old Style" w:hAnsi="Bookman Old Style"/>
      <w:i/>
      <w:kern w:val="28"/>
      <w:sz w:val="24"/>
    </w:rPr>
  </w:style>
  <w:style w:type="character" w:customStyle="1" w:styleId="Retraitcorpsdetexte3Car">
    <w:name w:val="Retrait corps de texte 3 Car"/>
    <w:basedOn w:val="Policepardfaut"/>
    <w:link w:val="Retraitcorpsdetexte3"/>
    <w:semiHidden/>
    <w:rsid w:val="008A16B2"/>
    <w:rPr>
      <w:rFonts w:ascii="Bookman Old Style" w:eastAsia="Times New Roman" w:hAnsi="Bookman Old Style" w:cs="Times New Roman"/>
      <w:i/>
      <w:kern w:val="28"/>
      <w:sz w:val="24"/>
      <w:szCs w:val="20"/>
      <w:lang w:val="fr-FR" w:eastAsia="fr-FR"/>
    </w:rPr>
  </w:style>
  <w:style w:type="paragraph" w:styleId="Retraitcorpsdetexte">
    <w:name w:val="Body Text Indent"/>
    <w:basedOn w:val="Normal"/>
    <w:link w:val="RetraitcorpsdetexteCar"/>
    <w:semiHidden/>
    <w:rsid w:val="008A16B2"/>
    <w:pPr>
      <w:ind w:left="540"/>
    </w:pPr>
    <w:rPr>
      <w:rFonts w:ascii="Bookman Old Style" w:hAnsi="Bookman Old Style"/>
      <w:i/>
      <w:kern w:val="28"/>
      <w:sz w:val="24"/>
    </w:rPr>
  </w:style>
  <w:style w:type="character" w:customStyle="1" w:styleId="RetraitcorpsdetexteCar">
    <w:name w:val="Retrait corps de texte Car"/>
    <w:basedOn w:val="Policepardfaut"/>
    <w:link w:val="Retraitcorpsdetexte"/>
    <w:semiHidden/>
    <w:rsid w:val="008A16B2"/>
    <w:rPr>
      <w:rFonts w:ascii="Bookman Old Style" w:eastAsia="Times New Roman" w:hAnsi="Bookman Old Style" w:cs="Times New Roman"/>
      <w:i/>
      <w:kern w:val="28"/>
      <w:sz w:val="24"/>
      <w:szCs w:val="20"/>
      <w:lang w:val="fr-FR" w:eastAsia="fr-FR"/>
    </w:rPr>
  </w:style>
  <w:style w:type="paragraph" w:styleId="Notedebasdepage">
    <w:name w:val="footnote text"/>
    <w:basedOn w:val="Normal"/>
    <w:link w:val="NotedebasdepageCar"/>
    <w:rsid w:val="008A16B2"/>
    <w:rPr>
      <w:kern w:val="28"/>
      <w:lang w:val="fr-BE"/>
    </w:rPr>
  </w:style>
  <w:style w:type="character" w:customStyle="1" w:styleId="NotedebasdepageCar">
    <w:name w:val="Note de bas de page Car"/>
    <w:basedOn w:val="Policepardfaut"/>
    <w:link w:val="Notedebasdepage"/>
    <w:rsid w:val="008A16B2"/>
    <w:rPr>
      <w:rFonts w:ascii="Times New Roman" w:eastAsia="Times New Roman" w:hAnsi="Times New Roman" w:cs="Times New Roman"/>
      <w:kern w:val="28"/>
      <w:sz w:val="20"/>
      <w:szCs w:val="20"/>
      <w:lang w:eastAsia="fr-FR"/>
    </w:rPr>
  </w:style>
  <w:style w:type="paragraph" w:styleId="Paragraphedeliste">
    <w:name w:val="List Paragraph"/>
    <w:basedOn w:val="Normal"/>
    <w:uiPriority w:val="34"/>
    <w:qFormat/>
    <w:rsid w:val="009662F5"/>
    <w:pPr>
      <w:ind w:left="708"/>
    </w:pPr>
  </w:style>
  <w:style w:type="character" w:customStyle="1" w:styleId="Titre3Car">
    <w:name w:val="Titre 3 Car"/>
    <w:basedOn w:val="Policepardfaut"/>
    <w:link w:val="Titre3"/>
    <w:uiPriority w:val="9"/>
    <w:semiHidden/>
    <w:rsid w:val="00182308"/>
    <w:rPr>
      <w:rFonts w:asciiTheme="majorHAnsi" w:eastAsiaTheme="majorEastAsia" w:hAnsiTheme="majorHAnsi" w:cstheme="majorBidi"/>
      <w:color w:val="1F3763" w:themeColor="accent1" w:themeShade="7F"/>
      <w:sz w:val="24"/>
      <w:szCs w:val="24"/>
      <w:lang w:val="fr-FR" w:eastAsia="fr-FR"/>
    </w:rPr>
  </w:style>
  <w:style w:type="character" w:styleId="Lienhypertexte">
    <w:name w:val="Hyperlink"/>
    <w:semiHidden/>
    <w:rsid w:val="00182308"/>
    <w:rPr>
      <w:color w:val="0000FF"/>
      <w:u w:val="single"/>
    </w:rPr>
  </w:style>
  <w:style w:type="paragraph" w:styleId="En-tte">
    <w:name w:val="header"/>
    <w:basedOn w:val="Normal"/>
    <w:link w:val="En-tteCar"/>
    <w:uiPriority w:val="99"/>
    <w:unhideWhenUsed/>
    <w:rsid w:val="00DC0172"/>
    <w:pPr>
      <w:tabs>
        <w:tab w:val="center" w:pos="4536"/>
        <w:tab w:val="right" w:pos="9072"/>
      </w:tabs>
    </w:pPr>
  </w:style>
  <w:style w:type="character" w:customStyle="1" w:styleId="En-tteCar">
    <w:name w:val="En-tête Car"/>
    <w:basedOn w:val="Policepardfaut"/>
    <w:link w:val="En-tte"/>
    <w:uiPriority w:val="99"/>
    <w:rsid w:val="00DC0172"/>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DC0172"/>
    <w:pPr>
      <w:tabs>
        <w:tab w:val="center" w:pos="4536"/>
        <w:tab w:val="right" w:pos="9072"/>
      </w:tabs>
    </w:pPr>
  </w:style>
  <w:style w:type="character" w:customStyle="1" w:styleId="PieddepageCar">
    <w:name w:val="Pied de page Car"/>
    <w:basedOn w:val="Policepardfaut"/>
    <w:link w:val="Pieddepage"/>
    <w:uiPriority w:val="99"/>
    <w:rsid w:val="00DC0172"/>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mq.cfwb.be/index.php?id=produc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forem.be/particuliers/chercher/metiersporteurs/decouvrir-les-metiers-porteur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1545</Words>
  <Characters>8501</Characters>
  <Application>Microsoft Office Word</Application>
  <DocSecurity>4</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Fastrès</dc:creator>
  <cp:keywords/>
  <dc:description/>
  <cp:lastModifiedBy>BARBEAUX Julie</cp:lastModifiedBy>
  <cp:revision>2</cp:revision>
  <dcterms:created xsi:type="dcterms:W3CDTF">2022-05-02T09:53:00Z</dcterms:created>
  <dcterms:modified xsi:type="dcterms:W3CDTF">2022-05-02T09:53:00Z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2022-05-02T09:34:59Z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6e654bba-0151-4cd7-aa4c-7ac61e1efcc2</vt:lpwstr>
  </property>
  <property fmtid="{D5CDD505-2E9C-101B-9397-08002B2CF9AE}" pid="8" name="MSIP_Label_97a477d1-147d-4e34-b5e3-7b26d2f44870_ContentBits">
    <vt:lpwstr>0</vt:lpwstr>
  </property>
</Properties>
</file>